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2CE93" w14:textId="0420489F" w:rsidR="005945E5" w:rsidRDefault="005945E5" w:rsidP="005945E5">
      <w:pPr>
        <w:pStyle w:val="Rodap"/>
        <w:jc w:val="both"/>
        <w:rPr>
          <w:rFonts w:ascii="Verdana" w:hAnsi="Verdana"/>
          <w:color w:val="FF0000"/>
          <w:sz w:val="22"/>
          <w:szCs w:val="32"/>
          <w:lang w:val="pt-BR"/>
        </w:rPr>
      </w:pPr>
      <w:bookmarkStart w:id="0" w:name="_Toc9262636"/>
      <w:r w:rsidRPr="005945E5">
        <w:rPr>
          <w:rFonts w:ascii="Verdana" w:hAnsi="Verdana"/>
          <w:color w:val="FF0000"/>
          <w:sz w:val="22"/>
          <w:szCs w:val="32"/>
          <w:lang w:val="pt-BR"/>
        </w:rPr>
        <w:t xml:space="preserve">Esta é uma versão preliminar, destinada </w:t>
      </w:r>
      <w:r w:rsidR="006F538F">
        <w:rPr>
          <w:rFonts w:ascii="Verdana" w:hAnsi="Verdana"/>
          <w:color w:val="FF0000"/>
          <w:sz w:val="22"/>
          <w:szCs w:val="32"/>
          <w:lang w:val="pt-BR"/>
        </w:rPr>
        <w:t>à</w:t>
      </w:r>
      <w:r w:rsidRPr="005945E5">
        <w:rPr>
          <w:rFonts w:ascii="Verdana" w:hAnsi="Verdana"/>
          <w:color w:val="FF0000"/>
          <w:sz w:val="22"/>
          <w:szCs w:val="32"/>
          <w:lang w:val="pt-BR"/>
        </w:rPr>
        <w:t xml:space="preserve"> </w:t>
      </w:r>
      <w:permStart w:id="569336238" w:edGrp="everyone"/>
      <w:permEnd w:id="569336238"/>
      <w:r w:rsidRPr="005945E5">
        <w:rPr>
          <w:rFonts w:ascii="Verdana" w:hAnsi="Verdana"/>
          <w:color w:val="FF0000"/>
          <w:sz w:val="22"/>
          <w:szCs w:val="32"/>
          <w:lang w:val="pt-BR"/>
        </w:rPr>
        <w:t xml:space="preserve">audiência pública. </w:t>
      </w:r>
    </w:p>
    <w:p w14:paraId="47648F7C" w14:textId="684BA63B" w:rsidR="005945E5" w:rsidRPr="005945E5" w:rsidRDefault="005945E5" w:rsidP="005945E5">
      <w:pPr>
        <w:pStyle w:val="Rodap"/>
        <w:jc w:val="both"/>
        <w:rPr>
          <w:rFonts w:ascii="Verdana" w:hAnsi="Verdana"/>
          <w:color w:val="FF0000"/>
          <w:sz w:val="22"/>
          <w:szCs w:val="32"/>
          <w:lang w:val="pt-BR"/>
        </w:rPr>
      </w:pPr>
      <w:r w:rsidRPr="005945E5">
        <w:rPr>
          <w:rFonts w:ascii="Verdana" w:hAnsi="Verdana"/>
          <w:color w:val="FF0000"/>
          <w:sz w:val="22"/>
          <w:szCs w:val="32"/>
          <w:lang w:val="pt-BR"/>
        </w:rPr>
        <w:t>Não representa recomendação do IBGC. Não deve ser divulgada ou usada para tomada de decisão.</w:t>
      </w:r>
    </w:p>
    <w:p w14:paraId="4944C8A8" w14:textId="53A3A101" w:rsidR="005945E5" w:rsidRDefault="005945E5" w:rsidP="005945E5">
      <w:pPr>
        <w:jc w:val="both"/>
        <w:rPr>
          <w:rFonts w:ascii="Verdana" w:hAnsi="Verdana"/>
          <w:color w:val="FF0000"/>
          <w:sz w:val="20"/>
          <w:szCs w:val="32"/>
          <w:lang w:val="pt-BR"/>
        </w:rPr>
      </w:pPr>
    </w:p>
    <w:p w14:paraId="0485527F" w14:textId="77777777" w:rsidR="005945E5" w:rsidRPr="005945E5" w:rsidRDefault="005945E5" w:rsidP="005945E5">
      <w:pPr>
        <w:jc w:val="both"/>
        <w:rPr>
          <w:rFonts w:ascii="Verdana" w:hAnsi="Verdana"/>
          <w:color w:val="FF0000"/>
          <w:sz w:val="20"/>
          <w:szCs w:val="32"/>
          <w:lang w:val="pt-BR"/>
        </w:rPr>
      </w:pPr>
    </w:p>
    <w:p w14:paraId="290B9C45" w14:textId="37C6DAF8" w:rsidR="00392DB5" w:rsidRDefault="00392DB5" w:rsidP="00271C9D">
      <w:pPr>
        <w:rPr>
          <w:rFonts w:ascii="Verdana" w:hAnsi="Verdana"/>
          <w:b/>
          <w:sz w:val="20"/>
          <w:szCs w:val="32"/>
          <w:u w:val="single"/>
          <w:lang w:val="pt-BR"/>
        </w:rPr>
      </w:pPr>
      <w:permStart w:id="756049293" w:edGrp="everyone"/>
      <w:permEnd w:id="756049293"/>
      <w:r w:rsidRPr="00392DB5">
        <w:rPr>
          <w:rFonts w:ascii="Verdana" w:hAnsi="Verdana"/>
          <w:b/>
          <w:sz w:val="20"/>
          <w:szCs w:val="32"/>
          <w:u w:val="single"/>
          <w:lang w:val="pt-BR"/>
        </w:rPr>
        <w:t>INSTRUÇÕES PARA AUDIÊNCIA PÚBLICA</w:t>
      </w:r>
      <w:bookmarkStart w:id="1" w:name="_GoBack"/>
      <w:bookmarkEnd w:id="1"/>
    </w:p>
    <w:p w14:paraId="3A10D842" w14:textId="6210710D" w:rsidR="00271C9D" w:rsidRPr="00392DB5" w:rsidRDefault="00271C9D" w:rsidP="00EA0F52">
      <w:pPr>
        <w:jc w:val="both"/>
        <w:rPr>
          <w:rFonts w:ascii="Verdana" w:hAnsi="Verdana"/>
          <w:sz w:val="20"/>
          <w:szCs w:val="32"/>
          <w:lang w:val="pt-BR"/>
        </w:rPr>
      </w:pPr>
      <w:r w:rsidRPr="00392DB5">
        <w:rPr>
          <w:rFonts w:ascii="Verdana" w:hAnsi="Verdana"/>
          <w:sz w:val="20"/>
          <w:szCs w:val="32"/>
          <w:lang w:val="pt-BR"/>
        </w:rPr>
        <w:t xml:space="preserve">Este documento está bloqueado para edições. É possível apenas a inserção de balões de comentários ao texto. Para isso, siga o procedimento </w:t>
      </w:r>
      <w:r w:rsidR="006A0AF6" w:rsidRPr="00392DB5">
        <w:rPr>
          <w:rFonts w:ascii="Verdana" w:hAnsi="Verdana"/>
          <w:sz w:val="20"/>
          <w:szCs w:val="32"/>
          <w:lang w:val="pt-BR"/>
        </w:rPr>
        <w:t xml:space="preserve">indicado </w:t>
      </w:r>
      <w:r w:rsidRPr="00392DB5">
        <w:rPr>
          <w:rFonts w:ascii="Verdana" w:hAnsi="Verdana"/>
          <w:sz w:val="20"/>
          <w:szCs w:val="32"/>
          <w:lang w:val="pt-BR"/>
        </w:rPr>
        <w:t>abaixo:</w:t>
      </w:r>
    </w:p>
    <w:p w14:paraId="7E6B4469" w14:textId="743A04A7" w:rsidR="00271C9D" w:rsidRPr="005945E5" w:rsidRDefault="00271C9D" w:rsidP="005945E5">
      <w:pPr>
        <w:pStyle w:val="PargrafodaLista"/>
        <w:numPr>
          <w:ilvl w:val="0"/>
          <w:numId w:val="41"/>
        </w:numPr>
        <w:rPr>
          <w:rFonts w:ascii="Verdana" w:hAnsi="Verdana"/>
          <w:sz w:val="20"/>
          <w:szCs w:val="32"/>
          <w:lang w:val="pt-BR"/>
        </w:rPr>
      </w:pPr>
      <w:r w:rsidRPr="005945E5">
        <w:rPr>
          <w:rFonts w:ascii="Verdana" w:hAnsi="Verdana"/>
          <w:sz w:val="20"/>
          <w:szCs w:val="32"/>
          <w:lang w:val="pt-BR"/>
        </w:rPr>
        <w:t>Selecione o trecho que deseja comentar</w:t>
      </w:r>
      <w:r w:rsidR="004F0A13" w:rsidRPr="005945E5">
        <w:rPr>
          <w:rFonts w:ascii="Verdana" w:hAnsi="Verdana"/>
          <w:sz w:val="20"/>
          <w:szCs w:val="32"/>
          <w:lang w:val="pt-BR"/>
        </w:rPr>
        <w:t>.</w:t>
      </w:r>
    </w:p>
    <w:p w14:paraId="4935F7E2" w14:textId="70D162AA" w:rsidR="006A0AF6" w:rsidRPr="005945E5" w:rsidRDefault="00271C9D" w:rsidP="005945E5">
      <w:pPr>
        <w:pStyle w:val="PargrafodaLista"/>
        <w:numPr>
          <w:ilvl w:val="0"/>
          <w:numId w:val="41"/>
        </w:numPr>
        <w:rPr>
          <w:rFonts w:ascii="Verdana" w:hAnsi="Verdana"/>
          <w:sz w:val="20"/>
          <w:szCs w:val="32"/>
          <w:lang w:val="pt-BR"/>
        </w:rPr>
      </w:pPr>
      <w:r w:rsidRPr="005945E5">
        <w:rPr>
          <w:rFonts w:ascii="Verdana" w:hAnsi="Verdana"/>
          <w:sz w:val="20"/>
          <w:szCs w:val="32"/>
          <w:lang w:val="pt-BR"/>
        </w:rPr>
        <w:t xml:space="preserve">Clique </w:t>
      </w:r>
      <w:r w:rsidR="006A0AF6" w:rsidRPr="005945E5">
        <w:rPr>
          <w:rFonts w:ascii="Verdana" w:hAnsi="Verdana"/>
          <w:sz w:val="20"/>
          <w:szCs w:val="32"/>
          <w:lang w:val="pt-BR"/>
        </w:rPr>
        <w:t>na guia “Revisão</w:t>
      </w:r>
      <w:r w:rsidR="005945E5" w:rsidRPr="005945E5">
        <w:rPr>
          <w:rFonts w:ascii="Verdana" w:hAnsi="Verdana"/>
          <w:sz w:val="20"/>
          <w:szCs w:val="32"/>
          <w:lang w:val="pt-BR"/>
        </w:rPr>
        <w:t>”, depois em “Novo Comentário” e faça seus comentários.</w:t>
      </w:r>
    </w:p>
    <w:p w14:paraId="7C653CDF" w14:textId="768E0E5A" w:rsidR="00271C9D" w:rsidRPr="005945E5" w:rsidRDefault="00271C9D" w:rsidP="005945E5">
      <w:pPr>
        <w:pStyle w:val="PargrafodaLista"/>
        <w:numPr>
          <w:ilvl w:val="0"/>
          <w:numId w:val="41"/>
        </w:numPr>
        <w:rPr>
          <w:rFonts w:ascii="Verdana" w:hAnsi="Verdana"/>
          <w:sz w:val="20"/>
          <w:szCs w:val="32"/>
          <w:lang w:val="pt-BR"/>
        </w:rPr>
      </w:pPr>
      <w:r w:rsidRPr="005945E5">
        <w:rPr>
          <w:rFonts w:ascii="Verdana" w:hAnsi="Verdana"/>
          <w:sz w:val="20"/>
          <w:szCs w:val="32"/>
          <w:lang w:val="pt-BR"/>
        </w:rPr>
        <w:t>Repita o procedimento para cada novo trecho que deseje comentar</w:t>
      </w:r>
      <w:r w:rsidR="004F0A13" w:rsidRPr="005945E5">
        <w:rPr>
          <w:rFonts w:ascii="Verdana" w:hAnsi="Verdana"/>
          <w:sz w:val="20"/>
          <w:szCs w:val="32"/>
          <w:lang w:val="pt-BR"/>
        </w:rPr>
        <w:t>.</w:t>
      </w:r>
    </w:p>
    <w:p w14:paraId="0C00A647" w14:textId="4880059C" w:rsidR="00271C9D" w:rsidRPr="005945E5" w:rsidRDefault="00271C9D" w:rsidP="005945E5">
      <w:pPr>
        <w:pStyle w:val="PargrafodaLista"/>
        <w:numPr>
          <w:ilvl w:val="0"/>
          <w:numId w:val="41"/>
        </w:numPr>
        <w:jc w:val="both"/>
        <w:rPr>
          <w:rFonts w:ascii="Verdana" w:hAnsi="Verdana"/>
          <w:sz w:val="20"/>
          <w:szCs w:val="32"/>
          <w:lang w:val="pt-BR"/>
        </w:rPr>
      </w:pPr>
      <w:r w:rsidRPr="005945E5">
        <w:rPr>
          <w:rFonts w:ascii="Verdana" w:hAnsi="Verdana"/>
          <w:sz w:val="20"/>
          <w:szCs w:val="32"/>
          <w:lang w:val="pt-BR"/>
        </w:rPr>
        <w:t>Ao terminar seus comentários, ou para interromper o processo e retomá-lo posteriormente, salve o documento em seu computador.</w:t>
      </w:r>
    </w:p>
    <w:p w14:paraId="2ACBBE88" w14:textId="251F90BD" w:rsidR="006A0AF6" w:rsidRPr="005945E5" w:rsidRDefault="0065415F" w:rsidP="005945E5">
      <w:pPr>
        <w:pStyle w:val="PargrafodaLista"/>
        <w:numPr>
          <w:ilvl w:val="0"/>
          <w:numId w:val="41"/>
        </w:numPr>
        <w:rPr>
          <w:rFonts w:ascii="Verdana" w:hAnsi="Verdana"/>
          <w:sz w:val="20"/>
          <w:szCs w:val="32"/>
          <w:lang w:val="pt-BR"/>
        </w:rPr>
      </w:pPr>
      <w:r w:rsidRPr="005945E5">
        <w:rPr>
          <w:rFonts w:ascii="Verdana" w:hAnsi="Verdana"/>
          <w:sz w:val="20"/>
          <w:szCs w:val="32"/>
          <w:lang w:val="pt-BR"/>
        </w:rPr>
        <w:t>Por fim, encaminhe o documento para</w:t>
      </w:r>
      <w:r w:rsidR="006A0AF6" w:rsidRPr="005945E5">
        <w:rPr>
          <w:rFonts w:ascii="Verdana" w:hAnsi="Verdana"/>
          <w:sz w:val="20"/>
          <w:szCs w:val="32"/>
          <w:lang w:val="pt-BR"/>
        </w:rPr>
        <w:t xml:space="preserve"> </w:t>
      </w:r>
      <w:hyperlink r:id="rId9" w:history="1">
        <w:r w:rsidR="006A0AF6" w:rsidRPr="005945E5">
          <w:rPr>
            <w:rStyle w:val="Hyperlink"/>
            <w:rFonts w:ascii="Verdana" w:hAnsi="Verdana"/>
            <w:sz w:val="20"/>
            <w:szCs w:val="32"/>
            <w:lang w:val="pt-BR"/>
          </w:rPr>
          <w:t>advocacy@ibgc.org.br</w:t>
        </w:r>
      </w:hyperlink>
      <w:r w:rsidR="006A0AF6" w:rsidRPr="005945E5">
        <w:rPr>
          <w:rFonts w:ascii="Verdana" w:hAnsi="Verdana"/>
          <w:sz w:val="20"/>
          <w:szCs w:val="32"/>
          <w:lang w:val="pt-BR"/>
        </w:rPr>
        <w:t xml:space="preserve">. </w:t>
      </w:r>
    </w:p>
    <w:p w14:paraId="01AD5EC5" w14:textId="77777777" w:rsidR="004F0A13" w:rsidRDefault="004F0A13" w:rsidP="00271C9D">
      <w:pPr>
        <w:jc w:val="both"/>
        <w:rPr>
          <w:rFonts w:ascii="Verdana" w:hAnsi="Verdana"/>
          <w:sz w:val="20"/>
          <w:szCs w:val="32"/>
          <w:lang w:val="pt-BR"/>
        </w:rPr>
      </w:pPr>
    </w:p>
    <w:p w14:paraId="7B58E095" w14:textId="3828488D" w:rsidR="004F0A13" w:rsidRDefault="00271C9D" w:rsidP="00606168">
      <w:pPr>
        <w:jc w:val="both"/>
        <w:rPr>
          <w:rFonts w:ascii="Verdana" w:hAnsi="Verdana"/>
          <w:sz w:val="20"/>
          <w:szCs w:val="32"/>
          <w:lang w:val="pt-BR"/>
        </w:rPr>
      </w:pPr>
      <w:r w:rsidRPr="00392DB5">
        <w:rPr>
          <w:rFonts w:ascii="Verdana" w:hAnsi="Verdana"/>
          <w:sz w:val="20"/>
          <w:szCs w:val="32"/>
          <w:lang w:val="pt-BR"/>
        </w:rPr>
        <w:t xml:space="preserve">Ressaltamos que o texto está sujeito a alterações e </w:t>
      </w:r>
      <w:r w:rsidR="00606168" w:rsidRPr="00606168">
        <w:rPr>
          <w:rFonts w:ascii="Verdana" w:hAnsi="Verdana"/>
          <w:sz w:val="20"/>
          <w:szCs w:val="32"/>
          <w:lang w:val="pt-BR"/>
        </w:rPr>
        <w:t>passará por revisão gramatical</w:t>
      </w:r>
      <w:r w:rsidR="00606168">
        <w:rPr>
          <w:rFonts w:ascii="Verdana" w:hAnsi="Verdana"/>
          <w:sz w:val="20"/>
          <w:szCs w:val="32"/>
          <w:lang w:val="pt-BR"/>
        </w:rPr>
        <w:t xml:space="preserve"> e estilística. </w:t>
      </w:r>
      <w:r w:rsidRPr="00392DB5">
        <w:rPr>
          <w:rFonts w:ascii="Verdana" w:hAnsi="Verdana"/>
          <w:sz w:val="20"/>
          <w:szCs w:val="32"/>
          <w:lang w:val="pt-BR"/>
        </w:rPr>
        <w:t xml:space="preserve">Solicitamos que sua atenção seja voltada </w:t>
      </w:r>
      <w:r w:rsidR="00606168" w:rsidRPr="00606168">
        <w:rPr>
          <w:rFonts w:ascii="Verdana" w:hAnsi="Verdana"/>
          <w:sz w:val="20"/>
          <w:szCs w:val="32"/>
          <w:lang w:val="pt-BR"/>
        </w:rPr>
        <w:t>a apresentar contribuições para o aprimoramento ou enriquecimento do conteúdo do documento</w:t>
      </w:r>
      <w:r w:rsidR="00606168">
        <w:rPr>
          <w:rFonts w:ascii="Verdana" w:hAnsi="Verdana"/>
          <w:sz w:val="20"/>
          <w:szCs w:val="32"/>
          <w:lang w:val="pt-BR"/>
        </w:rPr>
        <w:t>.</w:t>
      </w:r>
    </w:p>
    <w:p w14:paraId="7C74107A" w14:textId="77777777" w:rsidR="00606168" w:rsidRDefault="00606168" w:rsidP="00606168">
      <w:pPr>
        <w:jc w:val="both"/>
        <w:rPr>
          <w:rFonts w:ascii="Verdana" w:hAnsi="Verdana"/>
          <w:b/>
          <w:sz w:val="20"/>
          <w:szCs w:val="32"/>
          <w:lang w:val="pt-BR"/>
        </w:rPr>
      </w:pPr>
      <w:permStart w:id="434969174" w:edGrp="everyone"/>
      <w:permEnd w:id="434969174"/>
    </w:p>
    <w:p w14:paraId="611B95EB" w14:textId="79341898" w:rsidR="00271C9D" w:rsidRPr="00392DB5" w:rsidRDefault="00271C9D" w:rsidP="00EA0F52">
      <w:pPr>
        <w:jc w:val="both"/>
        <w:rPr>
          <w:rFonts w:ascii="Verdana" w:hAnsi="Verdana"/>
          <w:sz w:val="20"/>
          <w:szCs w:val="32"/>
          <w:lang w:val="pt-BR"/>
        </w:rPr>
      </w:pPr>
      <w:r w:rsidRPr="00392DB5">
        <w:rPr>
          <w:rFonts w:ascii="Verdana" w:hAnsi="Verdana"/>
          <w:b/>
          <w:sz w:val="20"/>
          <w:szCs w:val="32"/>
          <w:lang w:val="pt-BR"/>
        </w:rPr>
        <w:t>Por gentileza, identifique-se abaixo</w:t>
      </w:r>
      <w:r w:rsidRPr="00392DB5">
        <w:rPr>
          <w:rFonts w:ascii="Verdana" w:hAnsi="Verdana"/>
          <w:sz w:val="20"/>
          <w:szCs w:val="32"/>
          <w:lang w:val="pt-BR"/>
        </w:rPr>
        <w:t xml:space="preserve"> (</w:t>
      </w:r>
      <w:r w:rsidRPr="00392DB5">
        <w:rPr>
          <w:rFonts w:ascii="Verdana" w:hAnsi="Verdana"/>
          <w:sz w:val="20"/>
          <w:szCs w:val="32"/>
          <w:u w:val="single"/>
          <w:lang w:val="pt-BR"/>
        </w:rPr>
        <w:t>esta parte do documento é editável</w:t>
      </w:r>
      <w:r w:rsidR="003F65FF">
        <w:rPr>
          <w:rFonts w:ascii="Verdana" w:hAnsi="Verdana"/>
          <w:sz w:val="20"/>
          <w:szCs w:val="32"/>
          <w:lang w:val="pt-BR"/>
        </w:rPr>
        <w:t>).</w:t>
      </w:r>
    </w:p>
    <w:p w14:paraId="7A534B62" w14:textId="77777777" w:rsidR="00271C9D" w:rsidRPr="00392DB5" w:rsidRDefault="00271C9D" w:rsidP="00271C9D">
      <w:pPr>
        <w:rPr>
          <w:rFonts w:ascii="Verdana" w:hAnsi="Verdana"/>
          <w:sz w:val="20"/>
          <w:szCs w:val="32"/>
          <w:lang w:val="pt-BR"/>
        </w:rPr>
      </w:pPr>
      <w:permStart w:id="137060858" w:edGrp="everyone"/>
      <w:r w:rsidRPr="00392DB5">
        <w:rPr>
          <w:rFonts w:ascii="Verdana" w:hAnsi="Verdana"/>
          <w:sz w:val="20"/>
          <w:szCs w:val="32"/>
          <w:lang w:val="pt-BR"/>
        </w:rPr>
        <w:t xml:space="preserve">Nome:  </w:t>
      </w:r>
    </w:p>
    <w:p w14:paraId="687FE7D5" w14:textId="77777777" w:rsidR="00271C9D" w:rsidRPr="00392DB5" w:rsidRDefault="00271C9D" w:rsidP="00271C9D">
      <w:pPr>
        <w:rPr>
          <w:rFonts w:ascii="Verdana" w:hAnsi="Verdana"/>
          <w:sz w:val="20"/>
          <w:szCs w:val="32"/>
          <w:lang w:val="pt-BR"/>
        </w:rPr>
      </w:pPr>
      <w:r w:rsidRPr="00392DB5">
        <w:rPr>
          <w:rFonts w:ascii="Verdana" w:hAnsi="Verdana"/>
          <w:sz w:val="20"/>
          <w:szCs w:val="32"/>
          <w:lang w:val="pt-BR"/>
        </w:rPr>
        <w:t xml:space="preserve">Organização/empresa:  </w:t>
      </w:r>
      <w:sdt>
        <w:sdtPr>
          <w:rPr>
            <w:rFonts w:ascii="Verdana" w:hAnsi="Verdana"/>
            <w:sz w:val="20"/>
            <w:szCs w:val="32"/>
          </w:rPr>
          <w:id w:val="120198970"/>
          <w:placeholder>
            <w:docPart w:val="7030E99468C7412FA4444915B9CDE2A5"/>
          </w:placeholder>
          <w:showingPlcHdr/>
          <w:text/>
        </w:sdtPr>
        <w:sdtEndPr/>
        <w:sdtContent>
          <w:r w:rsidRPr="00392DB5">
            <w:rPr>
              <w:rStyle w:val="TextodoEspaoReservado"/>
              <w:rFonts w:ascii="Verdana" w:hAnsi="Verdana"/>
              <w:sz w:val="20"/>
              <w:lang w:val="pt-BR"/>
            </w:rPr>
            <w:t>Clique ou toque aqui para inserir o texto.</w:t>
          </w:r>
        </w:sdtContent>
      </w:sdt>
    </w:p>
    <w:p w14:paraId="0DEDD2B0" w14:textId="77777777" w:rsidR="00271C9D" w:rsidRPr="00392DB5" w:rsidRDefault="00271C9D" w:rsidP="00271C9D">
      <w:pPr>
        <w:rPr>
          <w:rFonts w:ascii="Verdana" w:hAnsi="Verdana"/>
          <w:sz w:val="20"/>
          <w:szCs w:val="32"/>
          <w:lang w:val="pt-BR"/>
        </w:rPr>
      </w:pPr>
      <w:r w:rsidRPr="00392DB5">
        <w:rPr>
          <w:rFonts w:ascii="Verdana" w:hAnsi="Verdana"/>
          <w:sz w:val="20"/>
          <w:szCs w:val="32"/>
          <w:lang w:val="pt-BR"/>
        </w:rPr>
        <w:t xml:space="preserve">Suas considerações são em seu nome ou em nome da organização/empresa que você representa?  </w:t>
      </w:r>
      <w:sdt>
        <w:sdtPr>
          <w:rPr>
            <w:rFonts w:ascii="Verdana" w:hAnsi="Verdana"/>
            <w:sz w:val="20"/>
            <w:szCs w:val="32"/>
          </w:rPr>
          <w:id w:val="-177731563"/>
          <w:placeholder>
            <w:docPart w:val="7030E99468C7412FA4444915B9CDE2A5"/>
          </w:placeholder>
          <w:showingPlcHdr/>
          <w:text/>
        </w:sdtPr>
        <w:sdtEndPr/>
        <w:sdtContent>
          <w:r w:rsidRPr="00392DB5">
            <w:rPr>
              <w:rStyle w:val="TextodoEspaoReservado"/>
              <w:rFonts w:ascii="Verdana" w:hAnsi="Verdana"/>
              <w:sz w:val="20"/>
              <w:lang w:val="pt-BR"/>
            </w:rPr>
            <w:t>Clique ou toque aqui para inserir o texto.</w:t>
          </w:r>
        </w:sdtContent>
      </w:sdt>
    </w:p>
    <w:p w14:paraId="77B86A86" w14:textId="77777777" w:rsidR="00271C9D" w:rsidRPr="00392DB5" w:rsidRDefault="00271C9D" w:rsidP="00271C9D">
      <w:pPr>
        <w:rPr>
          <w:rFonts w:ascii="Verdana" w:hAnsi="Verdana"/>
          <w:sz w:val="20"/>
          <w:szCs w:val="32"/>
          <w:lang w:val="pt-BR"/>
        </w:rPr>
      </w:pPr>
      <w:r w:rsidRPr="00392DB5">
        <w:rPr>
          <w:rFonts w:ascii="Verdana" w:hAnsi="Verdana"/>
          <w:sz w:val="20"/>
          <w:szCs w:val="32"/>
          <w:lang w:val="pt-BR"/>
        </w:rPr>
        <w:t xml:space="preserve">E-mail:  </w:t>
      </w:r>
      <w:sdt>
        <w:sdtPr>
          <w:rPr>
            <w:rFonts w:ascii="Verdana" w:hAnsi="Verdana"/>
            <w:sz w:val="20"/>
            <w:szCs w:val="32"/>
          </w:rPr>
          <w:id w:val="1530909164"/>
          <w:placeholder>
            <w:docPart w:val="7030E99468C7412FA4444915B9CDE2A5"/>
          </w:placeholder>
          <w:showingPlcHdr/>
          <w:text/>
        </w:sdtPr>
        <w:sdtEndPr/>
        <w:sdtContent>
          <w:r w:rsidRPr="00392DB5">
            <w:rPr>
              <w:rStyle w:val="TextodoEspaoReservado"/>
              <w:rFonts w:ascii="Verdana" w:hAnsi="Verdana"/>
              <w:sz w:val="20"/>
              <w:lang w:val="pt-BR"/>
            </w:rPr>
            <w:t>Clique ou toque aqui para inserir o texto.</w:t>
          </w:r>
        </w:sdtContent>
      </w:sdt>
    </w:p>
    <w:p w14:paraId="78DB868B" w14:textId="77777777" w:rsidR="00271C9D" w:rsidRPr="00392DB5" w:rsidRDefault="00271C9D" w:rsidP="00271C9D">
      <w:pPr>
        <w:rPr>
          <w:rFonts w:ascii="Verdana" w:hAnsi="Verdana"/>
          <w:sz w:val="20"/>
          <w:szCs w:val="32"/>
          <w:lang w:val="pt-BR"/>
        </w:rPr>
      </w:pPr>
      <w:r w:rsidRPr="00392DB5">
        <w:rPr>
          <w:rFonts w:ascii="Verdana" w:hAnsi="Verdana"/>
          <w:sz w:val="20"/>
          <w:szCs w:val="32"/>
          <w:lang w:val="pt-BR"/>
        </w:rPr>
        <w:t xml:space="preserve">Telefone: </w:t>
      </w:r>
      <w:sdt>
        <w:sdtPr>
          <w:rPr>
            <w:rFonts w:ascii="Verdana" w:hAnsi="Verdana"/>
            <w:sz w:val="20"/>
            <w:szCs w:val="32"/>
          </w:rPr>
          <w:id w:val="551809313"/>
          <w:placeholder>
            <w:docPart w:val="7030E99468C7412FA4444915B9CDE2A5"/>
          </w:placeholder>
          <w:showingPlcHdr/>
          <w:text/>
        </w:sdtPr>
        <w:sdtEndPr/>
        <w:sdtContent>
          <w:r w:rsidRPr="00392DB5">
            <w:rPr>
              <w:rStyle w:val="TextodoEspaoReservado"/>
              <w:rFonts w:ascii="Verdana" w:hAnsi="Verdana"/>
              <w:sz w:val="20"/>
              <w:lang w:val="pt-BR"/>
            </w:rPr>
            <w:t>Clique ou toque aqui para inserir o texto.</w:t>
          </w:r>
        </w:sdtContent>
      </w:sdt>
    </w:p>
    <w:permEnd w:id="137060858"/>
    <w:p w14:paraId="27FE6F8A" w14:textId="77777777" w:rsidR="006A0AF6" w:rsidRDefault="006A0AF6" w:rsidP="00271C9D">
      <w:pPr>
        <w:rPr>
          <w:rFonts w:ascii="Verdana" w:hAnsi="Verdana"/>
          <w:sz w:val="20"/>
          <w:szCs w:val="32"/>
          <w:lang w:val="pt-BR"/>
        </w:rPr>
      </w:pPr>
    </w:p>
    <w:p w14:paraId="6D4D9219" w14:textId="5C2F15F2" w:rsidR="00271C9D" w:rsidRPr="00392DB5" w:rsidRDefault="00271C9D" w:rsidP="00271C9D">
      <w:pPr>
        <w:rPr>
          <w:rFonts w:ascii="Verdana" w:hAnsi="Verdana"/>
          <w:sz w:val="20"/>
          <w:szCs w:val="32"/>
          <w:lang w:val="pt-BR"/>
        </w:rPr>
      </w:pPr>
      <w:r w:rsidRPr="00392DB5">
        <w:rPr>
          <w:rFonts w:ascii="Verdana" w:hAnsi="Verdana"/>
          <w:sz w:val="20"/>
          <w:szCs w:val="32"/>
          <w:lang w:val="pt-BR"/>
        </w:rPr>
        <w:t xml:space="preserve">O prazo para </w:t>
      </w:r>
      <w:r w:rsidR="004F0A13">
        <w:rPr>
          <w:rFonts w:ascii="Verdana" w:hAnsi="Verdana"/>
          <w:sz w:val="20"/>
          <w:szCs w:val="32"/>
          <w:lang w:val="pt-BR"/>
        </w:rPr>
        <w:t>enviar o documento com contribuições</w:t>
      </w:r>
      <w:r w:rsidRPr="00392DB5">
        <w:rPr>
          <w:rFonts w:ascii="Verdana" w:hAnsi="Verdana"/>
          <w:sz w:val="20"/>
          <w:szCs w:val="32"/>
          <w:lang w:val="pt-BR"/>
        </w:rPr>
        <w:t xml:space="preserve"> se encerra em </w:t>
      </w:r>
      <w:r w:rsidRPr="00392DB5">
        <w:rPr>
          <w:rFonts w:ascii="Verdana" w:hAnsi="Verdana"/>
          <w:b/>
          <w:sz w:val="20"/>
          <w:szCs w:val="32"/>
          <w:lang w:val="pt-BR"/>
        </w:rPr>
        <w:t>30 de outubro de 2019.</w:t>
      </w:r>
    </w:p>
    <w:p w14:paraId="02BB2393" w14:textId="77777777" w:rsidR="00392DB5" w:rsidRDefault="00392DB5" w:rsidP="00271C9D">
      <w:pPr>
        <w:rPr>
          <w:rFonts w:ascii="Verdana" w:hAnsi="Verdana"/>
          <w:sz w:val="20"/>
          <w:szCs w:val="32"/>
          <w:lang w:val="pt-BR"/>
        </w:rPr>
      </w:pPr>
    </w:p>
    <w:p w14:paraId="6F2ABEDB" w14:textId="0158268E" w:rsidR="00271C9D" w:rsidRPr="00392DB5" w:rsidRDefault="00020E76" w:rsidP="00271C9D">
      <w:pPr>
        <w:rPr>
          <w:rFonts w:ascii="Verdana" w:hAnsi="Verdana"/>
          <w:sz w:val="20"/>
          <w:szCs w:val="32"/>
          <w:lang w:val="pt-BR"/>
        </w:rPr>
      </w:pPr>
      <w:r>
        <w:rPr>
          <w:rFonts w:ascii="Verdana" w:hAnsi="Verdana"/>
          <w:sz w:val="20"/>
          <w:szCs w:val="32"/>
          <w:lang w:val="pt-BR"/>
        </w:rPr>
        <w:t>Agradecemos sua participação.</w:t>
      </w:r>
    </w:p>
    <w:p w14:paraId="650D1846" w14:textId="77777777" w:rsidR="00392DB5" w:rsidRDefault="00392DB5" w:rsidP="00B94348">
      <w:pPr>
        <w:pStyle w:val="SemEspaamento"/>
        <w:jc w:val="center"/>
        <w:rPr>
          <w:lang w:val="pt-BR"/>
        </w:rPr>
      </w:pPr>
    </w:p>
    <w:p w14:paraId="42690F1E" w14:textId="77777777" w:rsidR="00392DB5" w:rsidRDefault="00392DB5" w:rsidP="00B94348">
      <w:pPr>
        <w:pStyle w:val="SemEspaamento"/>
        <w:jc w:val="center"/>
        <w:rPr>
          <w:lang w:val="pt-BR"/>
        </w:rPr>
      </w:pPr>
    </w:p>
    <w:p w14:paraId="0ECED3C6" w14:textId="43E49D63" w:rsidR="005945E5" w:rsidRDefault="005945E5" w:rsidP="005945E5">
      <w:pPr>
        <w:rPr>
          <w:b/>
          <w:lang w:val="pt-BR"/>
        </w:rPr>
      </w:pPr>
    </w:p>
    <w:p w14:paraId="3476A8EC" w14:textId="77777777" w:rsidR="00AD072E" w:rsidRPr="00392DB5" w:rsidRDefault="00392DB5" w:rsidP="004F0A13">
      <w:pPr>
        <w:jc w:val="center"/>
        <w:rPr>
          <w:rFonts w:ascii="Verdana" w:hAnsi="Verdana"/>
          <w:b/>
          <w:sz w:val="22"/>
          <w:lang w:val="pt-BR"/>
        </w:rPr>
      </w:pPr>
      <w:r w:rsidRPr="005945E5">
        <w:rPr>
          <w:lang w:val="pt-BR"/>
        </w:rPr>
        <w:br w:type="page"/>
      </w:r>
      <w:r w:rsidR="00B554AA" w:rsidRPr="00392DB5">
        <w:rPr>
          <w:rFonts w:ascii="Verdana" w:hAnsi="Verdana"/>
          <w:b/>
          <w:sz w:val="22"/>
          <w:lang w:val="pt-BR"/>
        </w:rPr>
        <w:lastRenderedPageBreak/>
        <w:t>INSTITUTO BRASILEIRO DE GOVERNANÇA CORPORATIVA</w:t>
      </w:r>
    </w:p>
    <w:p w14:paraId="5375DBFF" w14:textId="13C4DF67" w:rsidR="00392DB5" w:rsidRPr="00392DB5" w:rsidRDefault="00392DB5" w:rsidP="00B94348">
      <w:pPr>
        <w:pStyle w:val="SemEspaamento"/>
        <w:jc w:val="center"/>
        <w:rPr>
          <w:rFonts w:ascii="Verdana" w:hAnsi="Verdana"/>
          <w:b/>
          <w:sz w:val="22"/>
          <w:lang w:val="pt-BR"/>
        </w:rPr>
      </w:pPr>
      <w:r w:rsidRPr="00392DB5">
        <w:rPr>
          <w:rFonts w:ascii="Verdana" w:hAnsi="Verdana"/>
          <w:b/>
          <w:sz w:val="22"/>
          <w:lang w:val="pt-BR"/>
        </w:rPr>
        <w:t>(IBGC)</w:t>
      </w:r>
    </w:p>
    <w:p w14:paraId="14DCA05C" w14:textId="77777777" w:rsidR="00B554AA" w:rsidRPr="00392DB5" w:rsidRDefault="00B554AA" w:rsidP="007135F8">
      <w:pPr>
        <w:spacing w:line="276" w:lineRule="auto"/>
        <w:jc w:val="center"/>
        <w:rPr>
          <w:rFonts w:ascii="Verdana" w:hAnsi="Verdana"/>
          <w:color w:val="2F5496" w:themeColor="accent1" w:themeShade="BF"/>
          <w:sz w:val="18"/>
          <w:szCs w:val="20"/>
          <w:lang w:val="pt-BR"/>
        </w:rPr>
      </w:pPr>
    </w:p>
    <w:p w14:paraId="3F9AEDF3" w14:textId="7E3365FD" w:rsidR="00B554AA" w:rsidRPr="00392DB5" w:rsidRDefault="00B554AA" w:rsidP="007135F8">
      <w:pPr>
        <w:spacing w:line="276" w:lineRule="auto"/>
        <w:jc w:val="center"/>
        <w:rPr>
          <w:rFonts w:ascii="Verdana" w:hAnsi="Verdana"/>
          <w:b/>
          <w:color w:val="2F5496" w:themeColor="accent1" w:themeShade="BF"/>
          <w:sz w:val="22"/>
          <w:szCs w:val="20"/>
          <w:lang w:val="pt-BR"/>
        </w:rPr>
      </w:pPr>
      <w:r w:rsidRPr="00392DB5">
        <w:rPr>
          <w:rFonts w:ascii="Verdana" w:hAnsi="Verdana"/>
          <w:b/>
          <w:color w:val="2F5496" w:themeColor="accent1" w:themeShade="BF"/>
          <w:sz w:val="22"/>
          <w:szCs w:val="20"/>
          <w:lang w:val="pt-BR"/>
        </w:rPr>
        <w:t>MELHORES PRÁTICAS EM PRIVATIZAÇÕES</w:t>
      </w:r>
    </w:p>
    <w:p w14:paraId="2F9EFF70" w14:textId="77777777" w:rsidR="00AD072E" w:rsidRPr="001B4EA4" w:rsidRDefault="00AD072E" w:rsidP="007135F8">
      <w:pPr>
        <w:spacing w:line="276" w:lineRule="auto"/>
        <w:jc w:val="center"/>
        <w:rPr>
          <w:rFonts w:ascii="Verdana" w:hAnsi="Verdana"/>
          <w:color w:val="2F5496" w:themeColor="accent1" w:themeShade="BF"/>
          <w:sz w:val="20"/>
          <w:szCs w:val="20"/>
          <w:lang w:val="pt-BR"/>
        </w:rPr>
      </w:pPr>
    </w:p>
    <w:p w14:paraId="3D4C2406" w14:textId="1CCE84A9" w:rsidR="001B4EA4" w:rsidRPr="00E1329E" w:rsidRDefault="001B4EA4" w:rsidP="00E1329E">
      <w:pPr>
        <w:spacing w:line="276" w:lineRule="auto"/>
        <w:jc w:val="both"/>
        <w:rPr>
          <w:rFonts w:ascii="Verdana" w:hAnsi="Verdana"/>
          <w:sz w:val="20"/>
          <w:lang w:val="pt-BR"/>
        </w:rPr>
      </w:pPr>
      <w:r w:rsidRPr="001B4EA4">
        <w:rPr>
          <w:rFonts w:ascii="Verdana" w:hAnsi="Verdana"/>
          <w:sz w:val="20"/>
          <w:lang w:val="pt-BR"/>
        </w:rPr>
        <w:t>CR</w:t>
      </w:r>
      <w:r>
        <w:rPr>
          <w:rFonts w:ascii="Verdana" w:hAnsi="Verdana"/>
          <w:sz w:val="20"/>
          <w:lang w:val="pt-BR"/>
        </w:rPr>
        <w:t>É</w:t>
      </w:r>
      <w:r w:rsidRPr="00E1329E">
        <w:rPr>
          <w:rFonts w:ascii="Verdana" w:hAnsi="Verdana"/>
          <w:sz w:val="20"/>
          <w:lang w:val="pt-BR"/>
        </w:rPr>
        <w:t xml:space="preserve">DITOS </w:t>
      </w:r>
    </w:p>
    <w:p w14:paraId="3A031836" w14:textId="60166FCF" w:rsidR="001B4EA4" w:rsidRDefault="001B4EA4" w:rsidP="00E1329E">
      <w:pPr>
        <w:spacing w:line="276" w:lineRule="auto"/>
        <w:jc w:val="both"/>
        <w:rPr>
          <w:rFonts w:ascii="Verdana" w:hAnsi="Verdana"/>
          <w:sz w:val="20"/>
          <w:lang w:val="pt-BR"/>
        </w:rPr>
      </w:pPr>
      <w:r w:rsidRPr="00E1329E">
        <w:rPr>
          <w:rFonts w:ascii="Verdana" w:hAnsi="Verdana"/>
          <w:sz w:val="20"/>
          <w:lang w:val="pt-BR"/>
        </w:rPr>
        <w:t xml:space="preserve">Esta publicação </w:t>
      </w:r>
      <w:r w:rsidR="00B554AA">
        <w:rPr>
          <w:rFonts w:ascii="Verdana" w:hAnsi="Verdana"/>
          <w:sz w:val="20"/>
          <w:lang w:val="pt-BR"/>
        </w:rPr>
        <w:t>está sendo desenvolvida</w:t>
      </w:r>
      <w:r w:rsidRPr="00E1329E">
        <w:rPr>
          <w:rFonts w:ascii="Verdana" w:hAnsi="Verdana"/>
          <w:sz w:val="20"/>
          <w:lang w:val="pt-BR"/>
        </w:rPr>
        <w:t xml:space="preserve"> a partir das discussões e análises de um grupo de trabalho formado por </w:t>
      </w:r>
      <w:r w:rsidR="00582668" w:rsidRPr="00582668">
        <w:rPr>
          <w:rFonts w:ascii="Verdana" w:hAnsi="Verdana"/>
          <w:sz w:val="20"/>
          <w:lang w:val="pt-BR"/>
        </w:rPr>
        <w:t>André Camargo</w:t>
      </w:r>
      <w:r w:rsidR="00B25CF3">
        <w:rPr>
          <w:rFonts w:ascii="Verdana" w:hAnsi="Verdana"/>
          <w:sz w:val="20"/>
          <w:lang w:val="pt-BR"/>
        </w:rPr>
        <w:t xml:space="preserve"> (TozziniFreire)</w:t>
      </w:r>
      <w:r w:rsidR="00582668">
        <w:rPr>
          <w:rFonts w:ascii="Verdana" w:hAnsi="Verdana"/>
          <w:sz w:val="20"/>
          <w:lang w:val="pt-BR"/>
        </w:rPr>
        <w:t xml:space="preserve">, </w:t>
      </w:r>
      <w:r w:rsidR="00582668" w:rsidRPr="00582668">
        <w:rPr>
          <w:rFonts w:ascii="Verdana" w:hAnsi="Verdana"/>
          <w:sz w:val="20"/>
          <w:lang w:val="pt-BR"/>
        </w:rPr>
        <w:t>Bárbara Teixeira</w:t>
      </w:r>
      <w:r w:rsidR="00B25CF3">
        <w:rPr>
          <w:rFonts w:ascii="Verdana" w:hAnsi="Verdana"/>
          <w:sz w:val="20"/>
          <w:lang w:val="pt-BR"/>
        </w:rPr>
        <w:t xml:space="preserve"> (SABZ </w:t>
      </w:r>
      <w:r w:rsidR="00B554AA">
        <w:rPr>
          <w:rFonts w:ascii="Verdana" w:hAnsi="Verdana"/>
          <w:sz w:val="20"/>
          <w:lang w:val="pt-BR"/>
        </w:rPr>
        <w:t>Advogad</w:t>
      </w:r>
      <w:r w:rsidR="00B25CF3">
        <w:rPr>
          <w:rFonts w:ascii="Verdana" w:hAnsi="Verdana"/>
          <w:sz w:val="20"/>
          <w:lang w:val="pt-BR"/>
        </w:rPr>
        <w:t>os)</w:t>
      </w:r>
      <w:r w:rsidR="00582668">
        <w:rPr>
          <w:rFonts w:ascii="Verdana" w:hAnsi="Verdana"/>
          <w:sz w:val="20"/>
          <w:lang w:val="pt-BR"/>
        </w:rPr>
        <w:t xml:space="preserve">, </w:t>
      </w:r>
      <w:r w:rsidR="00582668" w:rsidRPr="00582668">
        <w:rPr>
          <w:rFonts w:ascii="Verdana" w:hAnsi="Verdana"/>
          <w:sz w:val="20"/>
          <w:lang w:val="pt-BR"/>
        </w:rPr>
        <w:t>Carlos Portugal Gouvêa</w:t>
      </w:r>
      <w:r w:rsidR="005F2DBE">
        <w:rPr>
          <w:rFonts w:ascii="Verdana" w:hAnsi="Verdana"/>
          <w:sz w:val="20"/>
          <w:lang w:val="pt-BR"/>
        </w:rPr>
        <w:t xml:space="preserve"> (PG</w:t>
      </w:r>
      <w:r w:rsidR="00B25CF3">
        <w:rPr>
          <w:rFonts w:ascii="Verdana" w:hAnsi="Verdana"/>
          <w:sz w:val="20"/>
          <w:lang w:val="pt-BR"/>
        </w:rPr>
        <w:t>Law)</w:t>
      </w:r>
      <w:r w:rsidR="00582668">
        <w:rPr>
          <w:rFonts w:ascii="Verdana" w:hAnsi="Verdana"/>
          <w:sz w:val="20"/>
          <w:lang w:val="pt-BR"/>
        </w:rPr>
        <w:t xml:space="preserve">, </w:t>
      </w:r>
      <w:r w:rsidR="00582668" w:rsidRPr="00582668">
        <w:rPr>
          <w:rFonts w:ascii="Verdana" w:hAnsi="Verdana"/>
          <w:sz w:val="20"/>
          <w:lang w:val="pt-BR"/>
        </w:rPr>
        <w:t>Claudio Timm</w:t>
      </w:r>
      <w:r w:rsidR="00B25CF3">
        <w:rPr>
          <w:rFonts w:ascii="Verdana" w:hAnsi="Verdana"/>
          <w:sz w:val="20"/>
          <w:lang w:val="pt-BR"/>
        </w:rPr>
        <w:t xml:space="preserve"> (TozziniFreire)</w:t>
      </w:r>
      <w:r w:rsidR="00582668">
        <w:rPr>
          <w:rFonts w:ascii="Verdana" w:hAnsi="Verdana"/>
          <w:sz w:val="20"/>
          <w:lang w:val="pt-BR"/>
        </w:rPr>
        <w:t xml:space="preserve">, </w:t>
      </w:r>
      <w:r w:rsidR="00582668" w:rsidRPr="00B11BB5">
        <w:rPr>
          <w:rFonts w:ascii="Verdana" w:hAnsi="Verdana"/>
          <w:sz w:val="20"/>
          <w:lang w:val="pt-BR"/>
        </w:rPr>
        <w:t>Danilo Gregório</w:t>
      </w:r>
      <w:r w:rsidR="00B25CF3">
        <w:rPr>
          <w:rFonts w:ascii="Verdana" w:hAnsi="Verdana"/>
          <w:sz w:val="20"/>
          <w:lang w:val="pt-BR"/>
        </w:rPr>
        <w:t xml:space="preserve"> (IBGC)</w:t>
      </w:r>
      <w:r w:rsidR="00582668">
        <w:rPr>
          <w:rFonts w:ascii="Verdana" w:hAnsi="Verdana"/>
          <w:sz w:val="20"/>
          <w:lang w:val="pt-BR"/>
        </w:rPr>
        <w:t>,</w:t>
      </w:r>
      <w:r w:rsidR="00582668" w:rsidRPr="00582668">
        <w:rPr>
          <w:rFonts w:ascii="Verdana" w:hAnsi="Verdana"/>
          <w:sz w:val="20"/>
          <w:lang w:val="pt-BR"/>
        </w:rPr>
        <w:t xml:space="preserve"> Eduardo Bernini</w:t>
      </w:r>
      <w:r w:rsidR="00B25CF3">
        <w:rPr>
          <w:rFonts w:ascii="Verdana" w:hAnsi="Verdana"/>
          <w:sz w:val="20"/>
          <w:lang w:val="pt-BR"/>
        </w:rPr>
        <w:t xml:space="preserve"> (Tempo Giusto)</w:t>
      </w:r>
      <w:r w:rsidR="00582668">
        <w:rPr>
          <w:rFonts w:ascii="Verdana" w:hAnsi="Verdana"/>
          <w:sz w:val="20"/>
          <w:lang w:val="pt-BR"/>
        </w:rPr>
        <w:t>, Kleber Zanchim</w:t>
      </w:r>
      <w:r w:rsidR="00B25CF3">
        <w:rPr>
          <w:rFonts w:ascii="Verdana" w:hAnsi="Verdana"/>
          <w:sz w:val="20"/>
          <w:lang w:val="pt-BR"/>
        </w:rPr>
        <w:t xml:space="preserve"> (SABZ Advo</w:t>
      </w:r>
      <w:r w:rsidR="00B554AA">
        <w:rPr>
          <w:rFonts w:ascii="Verdana" w:hAnsi="Verdana"/>
          <w:sz w:val="20"/>
          <w:lang w:val="pt-BR"/>
        </w:rPr>
        <w:t>gado</w:t>
      </w:r>
      <w:r w:rsidR="00B25CF3">
        <w:rPr>
          <w:rFonts w:ascii="Verdana" w:hAnsi="Verdana"/>
          <w:sz w:val="20"/>
          <w:lang w:val="pt-BR"/>
        </w:rPr>
        <w:t>s)</w:t>
      </w:r>
      <w:r w:rsidR="00582668">
        <w:rPr>
          <w:rFonts w:ascii="Verdana" w:hAnsi="Verdana"/>
          <w:sz w:val="20"/>
          <w:lang w:val="pt-BR"/>
        </w:rPr>
        <w:t>, José Virgí</w:t>
      </w:r>
      <w:r w:rsidR="00582668" w:rsidRPr="00582668">
        <w:rPr>
          <w:rFonts w:ascii="Verdana" w:hAnsi="Verdana"/>
          <w:sz w:val="20"/>
          <w:lang w:val="pt-BR"/>
        </w:rPr>
        <w:t>lio Lopes Enei</w:t>
      </w:r>
      <w:r w:rsidR="00B25CF3">
        <w:rPr>
          <w:rFonts w:ascii="Verdana" w:hAnsi="Verdana"/>
          <w:sz w:val="20"/>
          <w:lang w:val="pt-BR"/>
        </w:rPr>
        <w:t xml:space="preserve"> (Machado Meyer)</w:t>
      </w:r>
      <w:r w:rsidR="00582668">
        <w:rPr>
          <w:rFonts w:ascii="Verdana" w:hAnsi="Verdana"/>
          <w:sz w:val="20"/>
          <w:lang w:val="pt-BR"/>
        </w:rPr>
        <w:t xml:space="preserve">, </w:t>
      </w:r>
      <w:r w:rsidR="00582668" w:rsidRPr="003320C8">
        <w:rPr>
          <w:rFonts w:ascii="Verdana" w:hAnsi="Verdana"/>
          <w:sz w:val="20"/>
          <w:lang w:val="pt-BR"/>
        </w:rPr>
        <w:t>Laís Piasentini Oliva</w:t>
      </w:r>
      <w:r w:rsidR="00B25CF3">
        <w:rPr>
          <w:rFonts w:ascii="Verdana" w:hAnsi="Verdana"/>
          <w:sz w:val="20"/>
          <w:lang w:val="pt-BR"/>
        </w:rPr>
        <w:t xml:space="preserve"> (IBGC)</w:t>
      </w:r>
      <w:r w:rsidR="00582668">
        <w:rPr>
          <w:rFonts w:ascii="Verdana" w:hAnsi="Verdana"/>
          <w:sz w:val="20"/>
          <w:lang w:val="pt-BR"/>
        </w:rPr>
        <w:t>,</w:t>
      </w:r>
      <w:r w:rsidR="00582668" w:rsidRPr="00582668">
        <w:rPr>
          <w:rFonts w:ascii="Verdana" w:hAnsi="Verdana"/>
          <w:sz w:val="20"/>
          <w:lang w:val="pt-BR"/>
        </w:rPr>
        <w:t xml:space="preserve"> Renato Vetere</w:t>
      </w:r>
      <w:r w:rsidR="00B25CF3">
        <w:rPr>
          <w:rFonts w:ascii="Verdana" w:hAnsi="Verdana"/>
          <w:sz w:val="20"/>
          <w:lang w:val="pt-BR"/>
        </w:rPr>
        <w:t xml:space="preserve"> (</w:t>
      </w:r>
      <w:r w:rsidR="009C7A72">
        <w:rPr>
          <w:rFonts w:ascii="Verdana" w:hAnsi="Verdana"/>
          <w:sz w:val="20"/>
          <w:lang w:val="pt-BR"/>
        </w:rPr>
        <w:t>Albertoni</w:t>
      </w:r>
      <w:r w:rsidR="00B25CF3">
        <w:rPr>
          <w:rFonts w:ascii="Verdana" w:hAnsi="Verdana"/>
          <w:sz w:val="20"/>
          <w:lang w:val="pt-BR"/>
        </w:rPr>
        <w:t xml:space="preserve"> Advogados)</w:t>
      </w:r>
      <w:r w:rsidR="00582668">
        <w:rPr>
          <w:rFonts w:ascii="Verdana" w:hAnsi="Verdana"/>
          <w:sz w:val="20"/>
          <w:lang w:val="pt-BR"/>
        </w:rPr>
        <w:t xml:space="preserve">, </w:t>
      </w:r>
      <w:r w:rsidR="00582668" w:rsidRPr="00582668">
        <w:rPr>
          <w:rFonts w:ascii="Verdana" w:hAnsi="Verdana"/>
          <w:sz w:val="20"/>
          <w:lang w:val="pt-BR"/>
        </w:rPr>
        <w:t>S</w:t>
      </w:r>
      <w:r w:rsidR="00582668">
        <w:rPr>
          <w:rFonts w:ascii="Verdana" w:hAnsi="Verdana"/>
          <w:sz w:val="20"/>
          <w:lang w:val="pt-BR"/>
        </w:rPr>
        <w:t>é</w:t>
      </w:r>
      <w:r w:rsidR="00582668" w:rsidRPr="00582668">
        <w:rPr>
          <w:rFonts w:ascii="Verdana" w:hAnsi="Verdana"/>
          <w:sz w:val="20"/>
          <w:lang w:val="pt-BR"/>
        </w:rPr>
        <w:t xml:space="preserve">rgio Lazzarini </w:t>
      </w:r>
      <w:r w:rsidR="00B25CF3">
        <w:rPr>
          <w:rFonts w:ascii="Verdana" w:hAnsi="Verdana"/>
          <w:sz w:val="20"/>
          <w:lang w:val="pt-BR"/>
        </w:rPr>
        <w:t xml:space="preserve">(Insper) </w:t>
      </w:r>
      <w:r w:rsidR="00582668" w:rsidRPr="00582668">
        <w:rPr>
          <w:rFonts w:ascii="Verdana" w:hAnsi="Verdana"/>
          <w:sz w:val="20"/>
          <w:lang w:val="pt-BR"/>
        </w:rPr>
        <w:t xml:space="preserve">e </w:t>
      </w:r>
      <w:r w:rsidR="00582668">
        <w:rPr>
          <w:rFonts w:ascii="Verdana" w:hAnsi="Verdana"/>
          <w:sz w:val="20"/>
          <w:lang w:val="pt-BR"/>
        </w:rPr>
        <w:t>Yasmin Saba</w:t>
      </w:r>
      <w:r w:rsidR="005F2DBE">
        <w:rPr>
          <w:rFonts w:ascii="Verdana" w:hAnsi="Verdana"/>
          <w:sz w:val="20"/>
          <w:lang w:val="pt-BR"/>
        </w:rPr>
        <w:t xml:space="preserve"> (PG</w:t>
      </w:r>
      <w:r w:rsidR="00B25CF3">
        <w:rPr>
          <w:rFonts w:ascii="Verdana" w:hAnsi="Verdana"/>
          <w:sz w:val="20"/>
          <w:lang w:val="pt-BR"/>
        </w:rPr>
        <w:t>Law)</w:t>
      </w:r>
      <w:r w:rsidR="00582668">
        <w:rPr>
          <w:rFonts w:ascii="Verdana" w:hAnsi="Verdana"/>
          <w:sz w:val="20"/>
          <w:lang w:val="pt-BR"/>
        </w:rPr>
        <w:t>.</w:t>
      </w:r>
    </w:p>
    <w:p w14:paraId="45CF5378" w14:textId="77777777" w:rsidR="0054138D" w:rsidRDefault="0054138D" w:rsidP="001B4EA4">
      <w:pPr>
        <w:spacing w:line="276" w:lineRule="auto"/>
        <w:rPr>
          <w:rFonts w:ascii="Verdana" w:hAnsi="Verdana"/>
          <w:sz w:val="20"/>
          <w:lang w:val="pt-BR"/>
        </w:rPr>
      </w:pPr>
    </w:p>
    <w:p w14:paraId="765BD12B" w14:textId="77777777" w:rsidR="0054138D" w:rsidRPr="00E1329E" w:rsidRDefault="001B4EA4" w:rsidP="00E1329E">
      <w:pPr>
        <w:pStyle w:val="SemEspaamento"/>
        <w:rPr>
          <w:rFonts w:ascii="Verdana" w:hAnsi="Verdana"/>
          <w:sz w:val="20"/>
          <w:szCs w:val="20"/>
          <w:lang w:val="pt-BR"/>
        </w:rPr>
      </w:pPr>
      <w:r w:rsidRPr="00E1329E">
        <w:rPr>
          <w:rFonts w:ascii="Verdana" w:hAnsi="Verdana"/>
          <w:sz w:val="20"/>
          <w:szCs w:val="20"/>
          <w:lang w:val="pt-BR"/>
        </w:rPr>
        <w:t>COORDENAÇÃO</w:t>
      </w:r>
    </w:p>
    <w:p w14:paraId="1DCF2467" w14:textId="759942B3" w:rsidR="001B4EA4" w:rsidRPr="00BA188A" w:rsidRDefault="001B4EA4" w:rsidP="001B4EA4">
      <w:pPr>
        <w:spacing w:line="276" w:lineRule="auto"/>
        <w:rPr>
          <w:rFonts w:ascii="Verdana" w:hAnsi="Verdana"/>
          <w:sz w:val="20"/>
          <w:szCs w:val="20"/>
          <w:lang w:val="pt-BR"/>
        </w:rPr>
      </w:pPr>
      <w:r w:rsidRPr="00BA188A">
        <w:rPr>
          <w:rFonts w:ascii="Verdana" w:hAnsi="Verdana"/>
          <w:sz w:val="20"/>
          <w:szCs w:val="20"/>
          <w:lang w:val="pt-BR"/>
        </w:rPr>
        <w:t>André Camargo</w:t>
      </w:r>
      <w:r w:rsidRPr="00E1329E">
        <w:rPr>
          <w:rFonts w:ascii="Verdana" w:hAnsi="Verdana"/>
          <w:sz w:val="20"/>
          <w:szCs w:val="20"/>
          <w:lang w:val="pt-BR"/>
        </w:rPr>
        <w:t xml:space="preserve"> </w:t>
      </w:r>
    </w:p>
    <w:p w14:paraId="046567AC" w14:textId="77777777" w:rsidR="0054138D" w:rsidRPr="00BA188A" w:rsidRDefault="0054138D" w:rsidP="001B4EA4">
      <w:pPr>
        <w:spacing w:line="276" w:lineRule="auto"/>
        <w:rPr>
          <w:rFonts w:ascii="Verdana" w:hAnsi="Verdana"/>
          <w:sz w:val="20"/>
          <w:szCs w:val="20"/>
          <w:lang w:val="pt-BR"/>
        </w:rPr>
      </w:pPr>
    </w:p>
    <w:p w14:paraId="2A65F601" w14:textId="77777777" w:rsidR="001B4EA4" w:rsidRPr="00E1329E" w:rsidRDefault="001B4EA4" w:rsidP="00E1329E">
      <w:pPr>
        <w:pStyle w:val="SemEspaamento"/>
        <w:rPr>
          <w:rFonts w:ascii="Verdana" w:hAnsi="Verdana"/>
          <w:sz w:val="20"/>
          <w:szCs w:val="20"/>
          <w:lang w:val="pt-BR"/>
        </w:rPr>
      </w:pPr>
      <w:r w:rsidRPr="00E1329E">
        <w:rPr>
          <w:rFonts w:ascii="Verdana" w:hAnsi="Verdana"/>
          <w:sz w:val="20"/>
          <w:szCs w:val="20"/>
          <w:lang w:val="pt-BR"/>
        </w:rPr>
        <w:t xml:space="preserve">REDAÇÃO </w:t>
      </w:r>
    </w:p>
    <w:p w14:paraId="3070F7BD" w14:textId="770B4204" w:rsidR="00703B30" w:rsidRDefault="004D66CD" w:rsidP="00E1329E">
      <w:pPr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  <w:r>
        <w:rPr>
          <w:rFonts w:ascii="Verdana" w:hAnsi="Verdana"/>
          <w:sz w:val="20"/>
          <w:szCs w:val="20"/>
          <w:lang w:val="pt-BR"/>
        </w:rPr>
        <w:t>Bárbara Teixeira</w:t>
      </w:r>
    </w:p>
    <w:p w14:paraId="2596A8EA" w14:textId="77777777" w:rsidR="00703B30" w:rsidRDefault="00703B30" w:rsidP="00E1329E">
      <w:pPr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</w:p>
    <w:p w14:paraId="782982D6" w14:textId="77777777" w:rsidR="00703B30" w:rsidRDefault="00703B30" w:rsidP="00271C9D">
      <w:pPr>
        <w:spacing w:line="276" w:lineRule="auto"/>
        <w:jc w:val="center"/>
        <w:rPr>
          <w:rFonts w:ascii="Verdana" w:hAnsi="Verdana"/>
          <w:sz w:val="20"/>
          <w:szCs w:val="20"/>
          <w:lang w:val="pt-BR"/>
        </w:rPr>
      </w:pPr>
    </w:p>
    <w:p w14:paraId="601C2E33" w14:textId="77777777" w:rsidR="00703B30" w:rsidRDefault="00703B30" w:rsidP="00E1329E">
      <w:pPr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</w:p>
    <w:p w14:paraId="1D8FC7B3" w14:textId="77777777" w:rsidR="00703B30" w:rsidRPr="001A3404" w:rsidRDefault="00703B30" w:rsidP="00703B30">
      <w:pPr>
        <w:spacing w:line="276" w:lineRule="auto"/>
        <w:rPr>
          <w:rFonts w:ascii="Verdana" w:hAnsi="Verdana"/>
          <w:b/>
          <w:sz w:val="20"/>
          <w:szCs w:val="20"/>
          <w:lang w:val="pt-BR"/>
        </w:rPr>
      </w:pPr>
      <w:r w:rsidRPr="001A3404">
        <w:rPr>
          <w:rFonts w:ascii="Verdana" w:hAnsi="Verdana"/>
          <w:b/>
          <w:sz w:val="20"/>
          <w:szCs w:val="20"/>
          <w:lang w:val="pt-BR"/>
        </w:rPr>
        <w:t>Versão para audiência restrita</w:t>
      </w:r>
    </w:p>
    <w:p w14:paraId="2FECE8E2" w14:textId="77777777" w:rsidR="00703B30" w:rsidRPr="001A3404" w:rsidRDefault="00703B30" w:rsidP="00703B30">
      <w:pPr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  <w:r w:rsidRPr="001A3404">
        <w:rPr>
          <w:rFonts w:ascii="Verdana" w:hAnsi="Verdana"/>
          <w:sz w:val="20"/>
          <w:szCs w:val="20"/>
          <w:lang w:val="pt-BR"/>
        </w:rPr>
        <w:t>Os participantes da audiência restrita serão devidamente citados nos agradecimentos.</w:t>
      </w:r>
    </w:p>
    <w:p w14:paraId="4B82E692" w14:textId="77777777" w:rsidR="00703B30" w:rsidRPr="00BA188A" w:rsidRDefault="00703B30" w:rsidP="00E1329E">
      <w:pPr>
        <w:spacing w:line="276" w:lineRule="auto"/>
        <w:jc w:val="both"/>
        <w:rPr>
          <w:rFonts w:ascii="Verdana" w:hAnsi="Verdana"/>
          <w:color w:val="2F5496" w:themeColor="accent1" w:themeShade="BF"/>
          <w:sz w:val="20"/>
          <w:szCs w:val="20"/>
          <w:lang w:val="pt-BR"/>
        </w:rPr>
      </w:pPr>
    </w:p>
    <w:p w14:paraId="3870D9E7" w14:textId="77777777" w:rsidR="001B4EA4" w:rsidRDefault="001B4EA4" w:rsidP="001B4EA4">
      <w:pPr>
        <w:spacing w:line="276" w:lineRule="auto"/>
        <w:rPr>
          <w:rFonts w:ascii="Verdana" w:hAnsi="Verdana"/>
          <w:color w:val="2F5496" w:themeColor="accent1" w:themeShade="BF"/>
          <w:sz w:val="20"/>
          <w:szCs w:val="20"/>
          <w:lang w:val="pt-BR"/>
        </w:rPr>
      </w:pPr>
    </w:p>
    <w:p w14:paraId="4433B5B6" w14:textId="77777777" w:rsidR="00AD072E" w:rsidRPr="001B4EA4" w:rsidRDefault="00AD072E" w:rsidP="001B4EA4">
      <w:pPr>
        <w:spacing w:line="276" w:lineRule="auto"/>
        <w:rPr>
          <w:rFonts w:ascii="Verdana" w:hAnsi="Verdana"/>
          <w:color w:val="2F5496" w:themeColor="accent1" w:themeShade="BF"/>
          <w:sz w:val="20"/>
          <w:szCs w:val="20"/>
          <w:lang w:val="pt-BR"/>
        </w:rPr>
      </w:pPr>
    </w:p>
    <w:p w14:paraId="27198B50" w14:textId="5A8DF9D2" w:rsidR="009D3DE1" w:rsidRPr="001B4EA4" w:rsidRDefault="00AD072E" w:rsidP="00E1329E">
      <w:pPr>
        <w:spacing w:line="276" w:lineRule="auto"/>
        <w:rPr>
          <w:rFonts w:ascii="Verdana" w:hAnsi="Verdana"/>
          <w:color w:val="2F5496" w:themeColor="accent1" w:themeShade="BF"/>
          <w:sz w:val="20"/>
          <w:szCs w:val="20"/>
          <w:lang w:val="pt-BR"/>
        </w:rPr>
      </w:pPr>
      <w:r w:rsidRPr="001B4EA4">
        <w:rPr>
          <w:rFonts w:ascii="Verdana" w:hAnsi="Verdana"/>
          <w:color w:val="2F5496" w:themeColor="accent1" w:themeShade="BF"/>
          <w:sz w:val="20"/>
          <w:szCs w:val="20"/>
          <w:lang w:val="pt-BR"/>
        </w:rPr>
        <w:br w:type="page"/>
      </w:r>
      <w:r w:rsidR="0032339C" w:rsidRPr="007135F8">
        <w:rPr>
          <w:rFonts w:ascii="Verdana" w:hAnsi="Verdana"/>
          <w:color w:val="2F5496" w:themeColor="accent1" w:themeShade="BF"/>
          <w:sz w:val="32"/>
          <w:szCs w:val="20"/>
          <w:lang w:val="pt-BR"/>
        </w:rPr>
        <w:lastRenderedPageBreak/>
        <w:t xml:space="preserve">Melhores </w:t>
      </w:r>
      <w:r w:rsidR="00995F2B" w:rsidRPr="007135F8">
        <w:rPr>
          <w:rFonts w:ascii="Verdana" w:hAnsi="Verdana"/>
          <w:color w:val="2F5496" w:themeColor="accent1" w:themeShade="BF"/>
          <w:sz w:val="32"/>
          <w:szCs w:val="20"/>
          <w:lang w:val="pt-BR"/>
        </w:rPr>
        <w:t>p</w:t>
      </w:r>
      <w:r w:rsidR="0032339C" w:rsidRPr="007135F8">
        <w:rPr>
          <w:rFonts w:ascii="Verdana" w:hAnsi="Verdana"/>
          <w:color w:val="2F5496" w:themeColor="accent1" w:themeShade="BF"/>
          <w:sz w:val="32"/>
          <w:szCs w:val="20"/>
          <w:lang w:val="pt-BR"/>
        </w:rPr>
        <w:t xml:space="preserve">ráticas em </w:t>
      </w:r>
      <w:r w:rsidR="00995F2B" w:rsidRPr="007135F8">
        <w:rPr>
          <w:rFonts w:ascii="Verdana" w:hAnsi="Verdana"/>
          <w:color w:val="2F5496" w:themeColor="accent1" w:themeShade="BF"/>
          <w:sz w:val="32"/>
          <w:szCs w:val="20"/>
          <w:lang w:val="pt-BR"/>
        </w:rPr>
        <w:t>p</w:t>
      </w:r>
      <w:r w:rsidR="0032339C" w:rsidRPr="007135F8">
        <w:rPr>
          <w:rFonts w:ascii="Verdana" w:hAnsi="Verdana"/>
          <w:color w:val="2F5496" w:themeColor="accent1" w:themeShade="BF"/>
          <w:sz w:val="32"/>
          <w:szCs w:val="20"/>
          <w:lang w:val="pt-BR"/>
        </w:rPr>
        <w:t>rivatizações</w:t>
      </w:r>
    </w:p>
    <w:sdt>
      <w:sdtPr>
        <w:rPr>
          <w:rFonts w:ascii="Verdana" w:eastAsiaTheme="minorHAnsi" w:hAnsi="Verdana" w:cstheme="minorBidi"/>
          <w:color w:val="auto"/>
          <w:sz w:val="20"/>
          <w:szCs w:val="20"/>
          <w:lang w:val="pt-BR"/>
        </w:rPr>
        <w:id w:val="-1128471369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584D7341" w14:textId="6CADD4A9" w:rsidR="009D3DE1" w:rsidRPr="001B4EA4" w:rsidRDefault="009D3DE1" w:rsidP="001B4EA4">
          <w:pPr>
            <w:pStyle w:val="CabealhodoSumrio"/>
            <w:suppressLineNumbers/>
            <w:spacing w:line="276" w:lineRule="auto"/>
            <w:jc w:val="both"/>
            <w:rPr>
              <w:rFonts w:ascii="Verdana" w:hAnsi="Verdana"/>
              <w:sz w:val="20"/>
              <w:szCs w:val="20"/>
              <w:lang w:val="pt-BR"/>
            </w:rPr>
          </w:pPr>
          <w:r w:rsidRPr="00215482">
            <w:rPr>
              <w:rFonts w:ascii="Verdana" w:hAnsi="Verdana"/>
              <w:b/>
              <w:sz w:val="20"/>
              <w:szCs w:val="20"/>
              <w:lang w:val="pt-BR"/>
            </w:rPr>
            <w:t>Sumário</w:t>
          </w:r>
        </w:p>
        <w:p w14:paraId="63C43FF4" w14:textId="77777777" w:rsidR="00490110" w:rsidRPr="001B4EA4" w:rsidRDefault="00490110" w:rsidP="001B4EA4">
          <w:pPr>
            <w:suppressLineNumbers/>
            <w:spacing w:line="276" w:lineRule="auto"/>
            <w:jc w:val="both"/>
            <w:rPr>
              <w:rFonts w:ascii="Verdana" w:hAnsi="Verdana"/>
              <w:sz w:val="20"/>
              <w:szCs w:val="20"/>
              <w:lang w:val="pt-BR"/>
            </w:rPr>
          </w:pPr>
        </w:p>
        <w:p w14:paraId="53D8B5E6" w14:textId="77777777" w:rsidR="004F0A13" w:rsidRPr="004F0A13" w:rsidRDefault="009D3DE1">
          <w:pPr>
            <w:pStyle w:val="Sumrio1"/>
            <w:tabs>
              <w:tab w:val="right" w:leader="dot" w:pos="8494"/>
            </w:tabs>
            <w:rPr>
              <w:rFonts w:ascii="Verdana" w:eastAsiaTheme="minorEastAsia" w:hAnsi="Verdana"/>
              <w:noProof/>
              <w:sz w:val="20"/>
              <w:szCs w:val="20"/>
              <w:lang w:val="pt-BR" w:eastAsia="pt-BR"/>
            </w:rPr>
          </w:pPr>
          <w:r w:rsidRPr="004F0A13">
            <w:rPr>
              <w:rFonts w:ascii="Verdana" w:hAnsi="Verdana"/>
              <w:sz w:val="20"/>
              <w:szCs w:val="20"/>
            </w:rPr>
            <w:fldChar w:fldCharType="begin"/>
          </w:r>
          <w:r w:rsidRPr="004F0A13">
            <w:rPr>
              <w:rFonts w:ascii="Verdana" w:hAnsi="Verdana"/>
              <w:sz w:val="20"/>
              <w:szCs w:val="20"/>
            </w:rPr>
            <w:instrText xml:space="preserve"> TOC \o "1-3" \h \z \u </w:instrText>
          </w:r>
          <w:r w:rsidRPr="004F0A13">
            <w:rPr>
              <w:rFonts w:ascii="Verdana" w:hAnsi="Verdana"/>
              <w:sz w:val="20"/>
              <w:szCs w:val="20"/>
            </w:rPr>
            <w:fldChar w:fldCharType="separate"/>
          </w:r>
          <w:hyperlink w:anchor="_Toc20752228" w:history="1">
            <w:r w:rsidR="004F0A13" w:rsidRPr="004F0A13">
              <w:rPr>
                <w:rStyle w:val="Hyperlink"/>
                <w:rFonts w:ascii="Verdana" w:hAnsi="Verdana"/>
                <w:noProof/>
                <w:sz w:val="20"/>
                <w:szCs w:val="20"/>
                <w:lang w:val="pt-BR"/>
              </w:rPr>
              <w:t>Introdução</w:t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_Toc20752228 \h </w:instrText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  <w:t>4</w:t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BC71624" w14:textId="77777777" w:rsidR="004F0A13" w:rsidRPr="004F0A13" w:rsidRDefault="006F538F">
          <w:pPr>
            <w:pStyle w:val="Sumrio2"/>
            <w:tabs>
              <w:tab w:val="right" w:leader="dot" w:pos="8494"/>
            </w:tabs>
            <w:rPr>
              <w:rFonts w:ascii="Verdana" w:eastAsiaTheme="minorEastAsia" w:hAnsi="Verdana"/>
              <w:noProof/>
              <w:sz w:val="20"/>
              <w:szCs w:val="20"/>
              <w:lang w:val="pt-BR" w:eastAsia="pt-BR"/>
            </w:rPr>
          </w:pPr>
          <w:hyperlink w:anchor="_Toc20752229" w:history="1">
            <w:r w:rsidR="004F0A13" w:rsidRPr="004F0A13">
              <w:rPr>
                <w:rStyle w:val="Hyperlink"/>
                <w:rFonts w:ascii="Verdana" w:hAnsi="Verdana"/>
                <w:noProof/>
                <w:sz w:val="20"/>
                <w:szCs w:val="20"/>
                <w:lang w:val="pt-BR"/>
              </w:rPr>
              <w:t>Ambiente regulatório</w:t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_Toc20752229 \h </w:instrText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  <w:t>7</w:t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FA937E5" w14:textId="77777777" w:rsidR="004F0A13" w:rsidRPr="004F0A13" w:rsidRDefault="006F538F">
          <w:pPr>
            <w:pStyle w:val="Sumrio1"/>
            <w:tabs>
              <w:tab w:val="right" w:leader="dot" w:pos="8494"/>
            </w:tabs>
            <w:rPr>
              <w:rFonts w:ascii="Verdana" w:eastAsiaTheme="minorEastAsia" w:hAnsi="Verdana"/>
              <w:noProof/>
              <w:sz w:val="20"/>
              <w:szCs w:val="20"/>
              <w:lang w:val="pt-BR" w:eastAsia="pt-BR"/>
            </w:rPr>
          </w:pPr>
          <w:hyperlink w:anchor="_Toc20752230" w:history="1">
            <w:r w:rsidR="004F0A13" w:rsidRPr="004F0A13">
              <w:rPr>
                <w:rStyle w:val="Hyperlink"/>
                <w:rFonts w:ascii="Verdana" w:hAnsi="Verdana"/>
                <w:noProof/>
                <w:sz w:val="20"/>
                <w:szCs w:val="20"/>
                <w:lang w:val="pt-BR"/>
              </w:rPr>
              <w:t>O processo de privatização</w:t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_Toc20752230 \h </w:instrText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  <w:t>9</w:t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9D23DB4" w14:textId="77777777" w:rsidR="004F0A13" w:rsidRPr="004F0A13" w:rsidRDefault="006F538F">
          <w:pPr>
            <w:pStyle w:val="Sumrio2"/>
            <w:tabs>
              <w:tab w:val="left" w:pos="660"/>
              <w:tab w:val="right" w:leader="dot" w:pos="8494"/>
            </w:tabs>
            <w:rPr>
              <w:rFonts w:ascii="Verdana" w:eastAsiaTheme="minorEastAsia" w:hAnsi="Verdana"/>
              <w:noProof/>
              <w:sz w:val="20"/>
              <w:szCs w:val="20"/>
              <w:lang w:val="pt-BR" w:eastAsia="pt-BR"/>
            </w:rPr>
          </w:pPr>
          <w:hyperlink w:anchor="_Toc20752231" w:history="1">
            <w:r w:rsidR="004F0A13" w:rsidRPr="004F0A13">
              <w:rPr>
                <w:rStyle w:val="Hyperlink"/>
                <w:rFonts w:ascii="Verdana" w:hAnsi="Verdana"/>
                <w:noProof/>
                <w:sz w:val="20"/>
                <w:szCs w:val="20"/>
                <w:lang w:val="pt-BR"/>
              </w:rPr>
              <w:t>1.</w:t>
            </w:r>
            <w:r w:rsidR="004F0A13" w:rsidRPr="004F0A13">
              <w:rPr>
                <w:rFonts w:ascii="Verdana" w:eastAsiaTheme="minorEastAsia" w:hAnsi="Verdana"/>
                <w:noProof/>
                <w:sz w:val="20"/>
                <w:szCs w:val="20"/>
                <w:lang w:val="pt-BR" w:eastAsia="pt-BR"/>
              </w:rPr>
              <w:tab/>
            </w:r>
            <w:r w:rsidR="004F0A13" w:rsidRPr="004F0A13">
              <w:rPr>
                <w:rStyle w:val="Hyperlink"/>
                <w:rFonts w:ascii="Verdana" w:hAnsi="Verdana"/>
                <w:noProof/>
                <w:sz w:val="20"/>
                <w:szCs w:val="20"/>
                <w:lang w:val="pt-BR"/>
              </w:rPr>
              <w:t>Antes da transação</w:t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_Toc20752231 \h </w:instrText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  <w:t>9</w:t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19629B7" w14:textId="77777777" w:rsidR="004F0A13" w:rsidRPr="004F0A13" w:rsidRDefault="006F538F">
          <w:pPr>
            <w:pStyle w:val="Sumrio3"/>
            <w:tabs>
              <w:tab w:val="right" w:leader="dot" w:pos="8494"/>
            </w:tabs>
            <w:rPr>
              <w:rFonts w:ascii="Verdana" w:eastAsiaTheme="minorEastAsia" w:hAnsi="Verdana"/>
              <w:noProof/>
              <w:sz w:val="20"/>
              <w:szCs w:val="20"/>
              <w:lang w:val="pt-BR" w:eastAsia="pt-BR"/>
            </w:rPr>
          </w:pPr>
          <w:hyperlink w:anchor="_Toc20752232" w:history="1">
            <w:r w:rsidR="004F0A13" w:rsidRPr="004F0A13">
              <w:rPr>
                <w:rStyle w:val="Hyperlink"/>
                <w:rFonts w:ascii="Verdana" w:hAnsi="Verdana"/>
                <w:noProof/>
                <w:sz w:val="20"/>
                <w:szCs w:val="20"/>
                <w:lang w:val="pt-BR"/>
              </w:rPr>
              <w:t>1.1 Tomada da decisão de privatização</w:t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_Toc20752232 \h </w:instrText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  <w:t>9</w:t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8CB06C1" w14:textId="77777777" w:rsidR="004F0A13" w:rsidRPr="004F0A13" w:rsidRDefault="006F538F">
          <w:pPr>
            <w:pStyle w:val="Sumrio3"/>
            <w:tabs>
              <w:tab w:val="right" w:leader="dot" w:pos="8494"/>
            </w:tabs>
            <w:rPr>
              <w:rFonts w:ascii="Verdana" w:eastAsiaTheme="minorEastAsia" w:hAnsi="Verdana"/>
              <w:noProof/>
              <w:sz w:val="20"/>
              <w:szCs w:val="20"/>
              <w:lang w:val="pt-BR" w:eastAsia="pt-BR"/>
            </w:rPr>
          </w:pPr>
          <w:hyperlink w:anchor="_Toc20752233" w:history="1">
            <w:r w:rsidR="004F0A13" w:rsidRPr="004F0A13">
              <w:rPr>
                <w:rStyle w:val="Hyperlink"/>
                <w:rFonts w:ascii="Verdana" w:hAnsi="Verdana"/>
                <w:noProof/>
                <w:sz w:val="20"/>
                <w:szCs w:val="20"/>
                <w:lang w:val="pt-BR"/>
              </w:rPr>
              <w:t>1.2 Estudos preparatórios</w:t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_Toc20752233 \h </w:instrText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  <w:t>12</w:t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FCEF993" w14:textId="77777777" w:rsidR="004F0A13" w:rsidRPr="004F0A13" w:rsidRDefault="006F538F">
          <w:pPr>
            <w:pStyle w:val="Sumrio3"/>
            <w:tabs>
              <w:tab w:val="right" w:leader="dot" w:pos="8494"/>
            </w:tabs>
            <w:rPr>
              <w:rFonts w:ascii="Verdana" w:eastAsiaTheme="minorEastAsia" w:hAnsi="Verdana"/>
              <w:noProof/>
              <w:sz w:val="20"/>
              <w:szCs w:val="20"/>
              <w:lang w:val="pt-BR" w:eastAsia="pt-BR"/>
            </w:rPr>
          </w:pPr>
          <w:hyperlink w:anchor="_Toc20752234" w:history="1">
            <w:r w:rsidR="004F0A13" w:rsidRPr="004F0A13">
              <w:rPr>
                <w:rStyle w:val="Hyperlink"/>
                <w:rFonts w:ascii="Verdana" w:hAnsi="Verdana"/>
                <w:noProof/>
                <w:sz w:val="20"/>
                <w:szCs w:val="20"/>
                <w:lang w:val="pt-BR"/>
              </w:rPr>
              <w:t>1.3 Modelagem das privatizações</w:t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_Toc20752234 \h </w:instrText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  <w:t>15</w:t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2493F9D" w14:textId="77777777" w:rsidR="004F0A13" w:rsidRPr="004F0A13" w:rsidRDefault="006F538F">
          <w:pPr>
            <w:pStyle w:val="Sumrio3"/>
            <w:tabs>
              <w:tab w:val="right" w:leader="dot" w:pos="8494"/>
            </w:tabs>
            <w:rPr>
              <w:rFonts w:ascii="Verdana" w:eastAsiaTheme="minorEastAsia" w:hAnsi="Verdana"/>
              <w:noProof/>
              <w:sz w:val="20"/>
              <w:szCs w:val="20"/>
              <w:lang w:val="pt-BR" w:eastAsia="pt-BR"/>
            </w:rPr>
          </w:pPr>
          <w:hyperlink w:anchor="_Toc20752235" w:history="1">
            <w:r w:rsidR="004F0A13" w:rsidRPr="004F0A13">
              <w:rPr>
                <w:rStyle w:val="Hyperlink"/>
                <w:rFonts w:ascii="Verdana" w:hAnsi="Verdana"/>
                <w:noProof/>
                <w:sz w:val="20"/>
                <w:szCs w:val="20"/>
                <w:lang w:val="pt-BR"/>
              </w:rPr>
              <w:t>1.4 Estruturação da governança</w:t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_Toc20752235 \h </w:instrText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  <w:t>17</w:t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F1A4141" w14:textId="77777777" w:rsidR="004F0A13" w:rsidRPr="004F0A13" w:rsidRDefault="006F538F">
          <w:pPr>
            <w:pStyle w:val="Sumrio2"/>
            <w:tabs>
              <w:tab w:val="left" w:pos="660"/>
              <w:tab w:val="right" w:leader="dot" w:pos="8494"/>
            </w:tabs>
            <w:rPr>
              <w:rFonts w:ascii="Verdana" w:eastAsiaTheme="minorEastAsia" w:hAnsi="Verdana"/>
              <w:noProof/>
              <w:sz w:val="20"/>
              <w:szCs w:val="20"/>
              <w:lang w:val="pt-BR" w:eastAsia="pt-BR"/>
            </w:rPr>
          </w:pPr>
          <w:hyperlink w:anchor="_Toc20752236" w:history="1">
            <w:r w:rsidR="004F0A13" w:rsidRPr="004F0A13">
              <w:rPr>
                <w:rStyle w:val="Hyperlink"/>
                <w:rFonts w:ascii="Verdana" w:hAnsi="Verdana"/>
                <w:noProof/>
                <w:sz w:val="20"/>
                <w:szCs w:val="20"/>
                <w:lang w:val="pt-BR"/>
              </w:rPr>
              <w:t>2.</w:t>
            </w:r>
            <w:r w:rsidR="004F0A13" w:rsidRPr="004F0A13">
              <w:rPr>
                <w:rFonts w:ascii="Verdana" w:eastAsiaTheme="minorEastAsia" w:hAnsi="Verdana"/>
                <w:noProof/>
                <w:sz w:val="20"/>
                <w:szCs w:val="20"/>
                <w:lang w:val="pt-BR" w:eastAsia="pt-BR"/>
              </w:rPr>
              <w:tab/>
            </w:r>
            <w:r w:rsidR="004F0A13" w:rsidRPr="004F0A13">
              <w:rPr>
                <w:rStyle w:val="Hyperlink"/>
                <w:rFonts w:ascii="Verdana" w:hAnsi="Verdana"/>
                <w:noProof/>
                <w:sz w:val="20"/>
                <w:szCs w:val="20"/>
                <w:lang w:val="pt-BR"/>
              </w:rPr>
              <w:t>Durante a transação</w:t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_Toc20752236 \h </w:instrText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  <w:t>19</w:t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D461E92" w14:textId="77777777" w:rsidR="004F0A13" w:rsidRPr="004F0A13" w:rsidRDefault="006F538F">
          <w:pPr>
            <w:pStyle w:val="Sumrio3"/>
            <w:tabs>
              <w:tab w:val="right" w:leader="dot" w:pos="8494"/>
            </w:tabs>
            <w:rPr>
              <w:rFonts w:ascii="Verdana" w:eastAsiaTheme="minorEastAsia" w:hAnsi="Verdana"/>
              <w:noProof/>
              <w:sz w:val="20"/>
              <w:szCs w:val="20"/>
              <w:lang w:val="pt-BR" w:eastAsia="pt-BR"/>
            </w:rPr>
          </w:pPr>
          <w:hyperlink w:anchor="_Toc20752237" w:history="1">
            <w:r w:rsidR="004F0A13" w:rsidRPr="004F0A13">
              <w:rPr>
                <w:rStyle w:val="Hyperlink"/>
                <w:rFonts w:ascii="Verdana" w:hAnsi="Verdana"/>
                <w:noProof/>
                <w:sz w:val="20"/>
                <w:szCs w:val="20"/>
                <w:lang w:val="pt-BR"/>
              </w:rPr>
              <w:t>2.1 Participação do Poder Legislativo</w:t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_Toc20752237 \h </w:instrText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  <w:t>19</w:t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60FBD94" w14:textId="77777777" w:rsidR="004F0A13" w:rsidRPr="004F0A13" w:rsidRDefault="006F538F">
          <w:pPr>
            <w:pStyle w:val="Sumrio3"/>
            <w:tabs>
              <w:tab w:val="right" w:leader="dot" w:pos="8494"/>
            </w:tabs>
            <w:rPr>
              <w:rFonts w:ascii="Verdana" w:eastAsiaTheme="minorEastAsia" w:hAnsi="Verdana"/>
              <w:noProof/>
              <w:sz w:val="20"/>
              <w:szCs w:val="20"/>
              <w:lang w:val="pt-BR" w:eastAsia="pt-BR"/>
            </w:rPr>
          </w:pPr>
          <w:hyperlink w:anchor="_Toc20752238" w:history="1">
            <w:r w:rsidR="004F0A13" w:rsidRPr="004F0A13">
              <w:rPr>
                <w:rStyle w:val="Hyperlink"/>
                <w:rFonts w:ascii="Verdana" w:hAnsi="Verdana"/>
                <w:noProof/>
                <w:sz w:val="20"/>
                <w:szCs w:val="20"/>
                <w:lang w:val="pt-BR"/>
              </w:rPr>
              <w:t>2.2 Desjudicialização</w:t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_Toc20752238 \h </w:instrText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  <w:t>20</w:t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4E89808" w14:textId="77777777" w:rsidR="004F0A13" w:rsidRPr="004F0A13" w:rsidRDefault="006F538F">
          <w:pPr>
            <w:pStyle w:val="Sumrio2"/>
            <w:tabs>
              <w:tab w:val="left" w:pos="660"/>
              <w:tab w:val="right" w:leader="dot" w:pos="8494"/>
            </w:tabs>
            <w:rPr>
              <w:rFonts w:ascii="Verdana" w:eastAsiaTheme="minorEastAsia" w:hAnsi="Verdana"/>
              <w:noProof/>
              <w:sz w:val="20"/>
              <w:szCs w:val="20"/>
              <w:lang w:val="pt-BR" w:eastAsia="pt-BR"/>
            </w:rPr>
          </w:pPr>
          <w:hyperlink w:anchor="_Toc20752239" w:history="1">
            <w:r w:rsidR="004F0A13" w:rsidRPr="004F0A13">
              <w:rPr>
                <w:rStyle w:val="Hyperlink"/>
                <w:rFonts w:ascii="Verdana" w:hAnsi="Verdana"/>
                <w:noProof/>
                <w:sz w:val="20"/>
                <w:szCs w:val="20"/>
                <w:lang w:val="pt-BR"/>
              </w:rPr>
              <w:t>3.</w:t>
            </w:r>
            <w:r w:rsidR="004F0A13" w:rsidRPr="004F0A13">
              <w:rPr>
                <w:rFonts w:ascii="Verdana" w:eastAsiaTheme="minorEastAsia" w:hAnsi="Verdana"/>
                <w:noProof/>
                <w:sz w:val="20"/>
                <w:szCs w:val="20"/>
                <w:lang w:val="pt-BR" w:eastAsia="pt-BR"/>
              </w:rPr>
              <w:tab/>
            </w:r>
            <w:r w:rsidR="004F0A13" w:rsidRPr="004F0A13">
              <w:rPr>
                <w:rStyle w:val="Hyperlink"/>
                <w:rFonts w:ascii="Verdana" w:hAnsi="Verdana"/>
                <w:noProof/>
                <w:sz w:val="20"/>
                <w:szCs w:val="20"/>
                <w:lang w:val="pt-BR"/>
              </w:rPr>
              <w:t>Depois da transação</w:t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_Toc20752239 \h </w:instrText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  <w:t>22</w:t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A1D2666" w14:textId="77777777" w:rsidR="004F0A13" w:rsidRPr="004F0A13" w:rsidRDefault="006F538F">
          <w:pPr>
            <w:pStyle w:val="Sumrio3"/>
            <w:tabs>
              <w:tab w:val="right" w:leader="dot" w:pos="8494"/>
            </w:tabs>
            <w:rPr>
              <w:rFonts w:ascii="Verdana" w:eastAsiaTheme="minorEastAsia" w:hAnsi="Verdana"/>
              <w:noProof/>
              <w:sz w:val="20"/>
              <w:szCs w:val="20"/>
              <w:lang w:val="pt-BR" w:eastAsia="pt-BR"/>
            </w:rPr>
          </w:pPr>
          <w:hyperlink w:anchor="_Toc20752240" w:history="1">
            <w:r w:rsidR="004F0A13" w:rsidRPr="004F0A13">
              <w:rPr>
                <w:rStyle w:val="Hyperlink"/>
                <w:rFonts w:ascii="Verdana" w:hAnsi="Verdana"/>
                <w:noProof/>
                <w:sz w:val="20"/>
                <w:szCs w:val="20"/>
                <w:lang w:val="pt-BR"/>
              </w:rPr>
              <w:t>3.1 Monitoramento dos objetivos sociais</w:t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_Toc20752240 \h </w:instrText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  <w:t>22</w:t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B56F970" w14:textId="77777777" w:rsidR="004F0A13" w:rsidRPr="004F0A13" w:rsidRDefault="006F538F">
          <w:pPr>
            <w:pStyle w:val="Sumrio1"/>
            <w:tabs>
              <w:tab w:val="right" w:leader="dot" w:pos="8494"/>
            </w:tabs>
            <w:rPr>
              <w:rFonts w:ascii="Verdana" w:eastAsiaTheme="minorEastAsia" w:hAnsi="Verdana"/>
              <w:noProof/>
              <w:sz w:val="20"/>
              <w:szCs w:val="20"/>
              <w:lang w:val="pt-BR" w:eastAsia="pt-BR"/>
            </w:rPr>
          </w:pPr>
          <w:hyperlink w:anchor="_Toc20752241" w:history="1">
            <w:r w:rsidR="004F0A13" w:rsidRPr="004F0A13">
              <w:rPr>
                <w:rStyle w:val="Hyperlink"/>
                <w:rFonts w:ascii="Verdana" w:hAnsi="Verdana"/>
                <w:noProof/>
                <w:sz w:val="20"/>
                <w:szCs w:val="20"/>
                <w:lang w:val="pt-BR"/>
              </w:rPr>
              <w:t>Síntese das recomendações</w:t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_Toc20752241 \h </w:instrText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  <w:t>23</w:t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2AC041F" w14:textId="77777777" w:rsidR="004F0A13" w:rsidRPr="004F0A13" w:rsidRDefault="006F538F">
          <w:pPr>
            <w:pStyle w:val="Sumrio1"/>
            <w:tabs>
              <w:tab w:val="right" w:leader="dot" w:pos="8494"/>
            </w:tabs>
            <w:rPr>
              <w:rFonts w:ascii="Verdana" w:eastAsiaTheme="minorEastAsia" w:hAnsi="Verdana"/>
              <w:noProof/>
              <w:sz w:val="20"/>
              <w:szCs w:val="20"/>
              <w:lang w:val="pt-BR" w:eastAsia="pt-BR"/>
            </w:rPr>
          </w:pPr>
          <w:hyperlink w:anchor="_Toc20752242" w:history="1">
            <w:r w:rsidR="004F0A13" w:rsidRPr="004F0A13">
              <w:rPr>
                <w:rStyle w:val="Hyperlink"/>
                <w:rFonts w:ascii="Verdana" w:hAnsi="Verdana"/>
                <w:noProof/>
                <w:sz w:val="20"/>
                <w:szCs w:val="20"/>
                <w:lang w:val="pt-BR"/>
              </w:rPr>
              <w:t>Referências</w:t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_Toc20752242 \h </w:instrText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  <w:t>25</w:t>
            </w:r>
            <w:r w:rsidR="004F0A13" w:rsidRPr="004F0A13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6CACD5D" w14:textId="07EBD367" w:rsidR="0089133D" w:rsidRPr="001B4EA4" w:rsidRDefault="009D3DE1" w:rsidP="001B4EA4">
          <w:pPr>
            <w:suppressLineNumbers/>
            <w:spacing w:line="276" w:lineRule="auto"/>
            <w:jc w:val="both"/>
            <w:rPr>
              <w:rFonts w:ascii="Verdana" w:hAnsi="Verdana"/>
              <w:b/>
              <w:sz w:val="20"/>
              <w:szCs w:val="20"/>
              <w:lang w:val="pt-BR"/>
            </w:rPr>
          </w:pPr>
          <w:r w:rsidRPr="004F0A13">
            <w:rPr>
              <w:rFonts w:ascii="Verdana" w:hAnsi="Verdana"/>
              <w:b/>
              <w:sz w:val="20"/>
              <w:szCs w:val="20"/>
              <w:lang w:val="pt-BR"/>
            </w:rPr>
            <w:fldChar w:fldCharType="end"/>
          </w:r>
        </w:p>
      </w:sdtContent>
    </w:sdt>
    <w:p w14:paraId="28AFAA7C" w14:textId="4E755856" w:rsidR="002C4E5D" w:rsidRPr="001B4EA4" w:rsidRDefault="002C4E5D" w:rsidP="001B4EA4">
      <w:pPr>
        <w:suppressLineNumbers/>
        <w:spacing w:line="276" w:lineRule="auto"/>
        <w:jc w:val="both"/>
        <w:rPr>
          <w:rFonts w:ascii="Verdana" w:hAnsi="Verdana"/>
          <w:b/>
          <w:sz w:val="20"/>
          <w:szCs w:val="20"/>
          <w:lang w:val="pt-BR"/>
        </w:rPr>
      </w:pPr>
      <w:r w:rsidRPr="001B4EA4">
        <w:rPr>
          <w:rFonts w:ascii="Verdana" w:hAnsi="Verdana"/>
          <w:color w:val="2F5496" w:themeColor="accent1" w:themeShade="BF"/>
          <w:sz w:val="20"/>
          <w:szCs w:val="20"/>
          <w:lang w:val="pt-BR"/>
        </w:rPr>
        <w:br w:type="page"/>
      </w:r>
    </w:p>
    <w:p w14:paraId="38386BEF" w14:textId="77777777" w:rsidR="00271C9D" w:rsidRDefault="00271C9D" w:rsidP="001B4EA4">
      <w:pPr>
        <w:pStyle w:val="Ttulo1"/>
        <w:spacing w:line="276" w:lineRule="auto"/>
        <w:jc w:val="both"/>
        <w:rPr>
          <w:rFonts w:ascii="Verdana" w:hAnsi="Verdana"/>
          <w:sz w:val="20"/>
          <w:szCs w:val="20"/>
          <w:lang w:val="pt-BR"/>
        </w:rPr>
        <w:sectPr w:rsidR="00271C9D" w:rsidSect="005945E5">
          <w:headerReference w:type="default" r:id="rId10"/>
          <w:footerReference w:type="default" r:id="rId11"/>
          <w:pgSz w:w="11906" w:h="16838"/>
          <w:pgMar w:top="1418" w:right="1701" w:bottom="2126" w:left="1701" w:header="709" w:footer="709" w:gutter="0"/>
          <w:cols w:space="708"/>
          <w:docGrid w:linePitch="360"/>
        </w:sectPr>
      </w:pPr>
    </w:p>
    <w:p w14:paraId="0910A82C" w14:textId="33ED789A" w:rsidR="007A02C8" w:rsidRPr="00215482" w:rsidRDefault="008D5E6B" w:rsidP="001B4EA4">
      <w:pPr>
        <w:pStyle w:val="Ttulo1"/>
        <w:spacing w:line="276" w:lineRule="auto"/>
        <w:jc w:val="both"/>
        <w:rPr>
          <w:rFonts w:ascii="Verdana" w:hAnsi="Verdana"/>
          <w:b/>
          <w:sz w:val="20"/>
          <w:szCs w:val="20"/>
          <w:lang w:val="pt-BR"/>
        </w:rPr>
      </w:pPr>
      <w:bookmarkStart w:id="2" w:name="_Toc20752228"/>
      <w:r w:rsidRPr="00215482">
        <w:rPr>
          <w:rFonts w:ascii="Verdana" w:hAnsi="Verdana"/>
          <w:b/>
          <w:sz w:val="20"/>
          <w:szCs w:val="20"/>
          <w:lang w:val="pt-BR"/>
        </w:rPr>
        <w:lastRenderedPageBreak/>
        <w:t>I</w:t>
      </w:r>
      <w:r w:rsidR="001F3A76" w:rsidRPr="00215482">
        <w:rPr>
          <w:rFonts w:ascii="Verdana" w:hAnsi="Verdana"/>
          <w:b/>
          <w:sz w:val="20"/>
          <w:szCs w:val="20"/>
          <w:lang w:val="pt-BR"/>
        </w:rPr>
        <w:t>ntrodução</w:t>
      </w:r>
      <w:bookmarkEnd w:id="2"/>
    </w:p>
    <w:p w14:paraId="7294F83C" w14:textId="77777777" w:rsidR="00C1447C" w:rsidRPr="001B4EA4" w:rsidRDefault="00C1447C" w:rsidP="001B4EA4">
      <w:pPr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</w:p>
    <w:p w14:paraId="33BCF512" w14:textId="17789332" w:rsidR="003660C8" w:rsidRPr="001B4EA4" w:rsidRDefault="007A4CD4" w:rsidP="001B4EA4">
      <w:pPr>
        <w:spacing w:line="276" w:lineRule="auto"/>
        <w:ind w:firstLine="708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>A combinação de diversos fatores</w:t>
      </w:r>
      <w:r w:rsidR="00BD7DA0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="00A40902" w:rsidRPr="001B4EA4">
        <w:rPr>
          <w:rFonts w:ascii="Verdana" w:hAnsi="Verdana"/>
          <w:sz w:val="20"/>
          <w:szCs w:val="20"/>
          <w:lang w:val="pt-BR"/>
        </w:rPr>
        <w:t xml:space="preserve">tem </w:t>
      </w:r>
      <w:r w:rsidR="005E1655" w:rsidRPr="001B4EA4">
        <w:rPr>
          <w:rFonts w:ascii="Verdana" w:hAnsi="Verdana"/>
          <w:sz w:val="20"/>
          <w:szCs w:val="20"/>
          <w:lang w:val="pt-BR"/>
        </w:rPr>
        <w:t xml:space="preserve">evidenciado um </w:t>
      </w:r>
      <w:r w:rsidR="00BD7DA0" w:rsidRPr="001B4EA4">
        <w:rPr>
          <w:rFonts w:ascii="Verdana" w:hAnsi="Verdana"/>
          <w:sz w:val="20"/>
          <w:szCs w:val="20"/>
          <w:lang w:val="pt-BR"/>
        </w:rPr>
        <w:t xml:space="preserve">crescente interesse </w:t>
      </w:r>
      <w:r w:rsidR="00995F2B" w:rsidRPr="001B4EA4">
        <w:rPr>
          <w:rFonts w:ascii="Verdana" w:hAnsi="Verdana"/>
          <w:sz w:val="20"/>
          <w:szCs w:val="20"/>
          <w:lang w:val="pt-BR"/>
        </w:rPr>
        <w:t xml:space="preserve">pelos programas e processos de </w:t>
      </w:r>
      <w:r w:rsidR="00BD7DA0" w:rsidRPr="001B4EA4">
        <w:rPr>
          <w:rFonts w:ascii="Verdana" w:hAnsi="Verdana"/>
          <w:sz w:val="20"/>
          <w:szCs w:val="20"/>
          <w:lang w:val="pt-BR"/>
        </w:rPr>
        <w:t>privatização</w:t>
      </w:r>
      <w:r w:rsidR="00995F2B" w:rsidRPr="001B4EA4">
        <w:rPr>
          <w:rFonts w:ascii="Verdana" w:hAnsi="Verdana"/>
          <w:sz w:val="20"/>
          <w:szCs w:val="20"/>
          <w:lang w:val="pt-BR"/>
        </w:rPr>
        <w:t xml:space="preserve"> no Brasil</w:t>
      </w:r>
      <w:r w:rsidR="00BD7DA0" w:rsidRPr="001B4EA4">
        <w:rPr>
          <w:rFonts w:ascii="Verdana" w:hAnsi="Verdana"/>
          <w:sz w:val="20"/>
          <w:szCs w:val="20"/>
          <w:lang w:val="pt-BR"/>
        </w:rPr>
        <w:t xml:space="preserve">. </w:t>
      </w:r>
      <w:r w:rsidR="00995F2B" w:rsidRPr="001B4EA4">
        <w:rPr>
          <w:rFonts w:ascii="Verdana" w:hAnsi="Verdana"/>
          <w:sz w:val="20"/>
          <w:szCs w:val="20"/>
          <w:lang w:val="pt-BR"/>
        </w:rPr>
        <w:t>Diante de uma</w:t>
      </w:r>
      <w:r w:rsidRPr="001B4EA4">
        <w:rPr>
          <w:rFonts w:ascii="Verdana" w:hAnsi="Verdana"/>
          <w:sz w:val="20"/>
          <w:szCs w:val="20"/>
          <w:lang w:val="pt-BR"/>
        </w:rPr>
        <w:t xml:space="preserve"> marcante presença de investimentos </w:t>
      </w:r>
      <w:r w:rsidR="00995F2B" w:rsidRPr="001B4EA4">
        <w:rPr>
          <w:rFonts w:ascii="Verdana" w:hAnsi="Verdana"/>
          <w:sz w:val="20"/>
          <w:szCs w:val="20"/>
          <w:lang w:val="pt-BR"/>
        </w:rPr>
        <w:t xml:space="preserve">privados (nacionais e estrangeiros) </w:t>
      </w:r>
      <w:r w:rsidRPr="001B4EA4">
        <w:rPr>
          <w:rFonts w:ascii="Verdana" w:hAnsi="Verdana"/>
          <w:sz w:val="20"/>
          <w:szCs w:val="20"/>
          <w:lang w:val="pt-BR"/>
        </w:rPr>
        <w:t xml:space="preserve">em setores antes </w:t>
      </w:r>
      <w:r w:rsidR="00995F2B" w:rsidRPr="001B4EA4">
        <w:rPr>
          <w:rFonts w:ascii="Verdana" w:hAnsi="Verdana"/>
          <w:sz w:val="20"/>
          <w:szCs w:val="20"/>
          <w:lang w:val="pt-BR"/>
        </w:rPr>
        <w:t>predominantemente estatais — ao lado d</w:t>
      </w:r>
      <w:r w:rsidRPr="001B4EA4">
        <w:rPr>
          <w:rFonts w:ascii="Verdana" w:hAnsi="Verdana"/>
          <w:sz w:val="20"/>
          <w:szCs w:val="20"/>
          <w:lang w:val="pt-BR"/>
        </w:rPr>
        <w:t xml:space="preserve">a busca pela ampliação da concorrência, </w:t>
      </w:r>
      <w:r w:rsidR="00995F2B" w:rsidRPr="001B4EA4">
        <w:rPr>
          <w:rFonts w:ascii="Verdana" w:hAnsi="Verdana"/>
          <w:sz w:val="20"/>
          <w:szCs w:val="20"/>
          <w:lang w:val="pt-BR"/>
        </w:rPr>
        <w:t>do aumento da</w:t>
      </w:r>
      <w:r w:rsidRPr="001B4EA4">
        <w:rPr>
          <w:rFonts w:ascii="Verdana" w:hAnsi="Verdana"/>
          <w:sz w:val="20"/>
          <w:szCs w:val="20"/>
          <w:lang w:val="pt-BR"/>
        </w:rPr>
        <w:t xml:space="preserve"> eficiência e </w:t>
      </w:r>
      <w:r w:rsidR="00995F2B" w:rsidRPr="001B4EA4">
        <w:rPr>
          <w:rFonts w:ascii="Verdana" w:hAnsi="Verdana"/>
          <w:sz w:val="20"/>
          <w:szCs w:val="20"/>
          <w:lang w:val="pt-BR"/>
        </w:rPr>
        <w:t xml:space="preserve">das </w:t>
      </w:r>
      <w:r w:rsidRPr="001B4EA4">
        <w:rPr>
          <w:rFonts w:ascii="Verdana" w:hAnsi="Verdana"/>
          <w:sz w:val="20"/>
          <w:szCs w:val="20"/>
          <w:lang w:val="pt-BR"/>
        </w:rPr>
        <w:t xml:space="preserve">mudanças </w:t>
      </w:r>
      <w:r w:rsidR="00995F2B" w:rsidRPr="001B4EA4">
        <w:rPr>
          <w:rFonts w:ascii="Verdana" w:hAnsi="Verdana"/>
          <w:sz w:val="20"/>
          <w:szCs w:val="20"/>
          <w:lang w:val="pt-BR"/>
        </w:rPr>
        <w:t xml:space="preserve">comerciais </w:t>
      </w:r>
      <w:r w:rsidRPr="001B4EA4">
        <w:rPr>
          <w:rFonts w:ascii="Verdana" w:hAnsi="Verdana"/>
          <w:sz w:val="20"/>
          <w:szCs w:val="20"/>
          <w:lang w:val="pt-BR"/>
        </w:rPr>
        <w:t>decorrentes da globalização</w:t>
      </w:r>
      <w:r w:rsidR="001B4EA4" w:rsidRPr="001B4EA4">
        <w:rPr>
          <w:rFonts w:ascii="Verdana" w:hAnsi="Verdana"/>
          <w:sz w:val="20"/>
          <w:szCs w:val="20"/>
          <w:lang w:val="pt-BR"/>
        </w:rPr>
        <w:t xml:space="preserve"> –</w:t>
      </w:r>
      <w:r w:rsidR="00995F2B" w:rsidRPr="001B4EA4">
        <w:rPr>
          <w:rFonts w:ascii="Verdana" w:hAnsi="Verdana"/>
          <w:sz w:val="20"/>
          <w:szCs w:val="20"/>
          <w:lang w:val="pt-BR"/>
        </w:rPr>
        <w:t>, configura-se uma</w:t>
      </w:r>
      <w:r w:rsidR="005E1655" w:rsidRPr="001B4EA4">
        <w:rPr>
          <w:rFonts w:ascii="Verdana" w:hAnsi="Verdana"/>
          <w:sz w:val="20"/>
          <w:szCs w:val="20"/>
          <w:lang w:val="pt-BR"/>
        </w:rPr>
        <w:t xml:space="preserve"> significativa</w:t>
      </w:r>
      <w:r w:rsidR="00995F2B" w:rsidRPr="001B4EA4">
        <w:rPr>
          <w:rFonts w:ascii="Verdana" w:hAnsi="Verdana"/>
          <w:sz w:val="20"/>
          <w:szCs w:val="20"/>
          <w:lang w:val="pt-BR"/>
        </w:rPr>
        <w:t xml:space="preserve"> alteração de papéis. O Estado, nesse contexto, vem</w:t>
      </w:r>
      <w:r w:rsidR="003E3E44" w:rsidRPr="001B4EA4">
        <w:rPr>
          <w:rFonts w:ascii="Verdana" w:hAnsi="Verdana"/>
          <w:sz w:val="20"/>
          <w:szCs w:val="20"/>
          <w:lang w:val="pt-BR"/>
        </w:rPr>
        <w:t xml:space="preserve"> deixando</w:t>
      </w:r>
      <w:r w:rsidR="0047035D" w:rsidRPr="001B4EA4">
        <w:rPr>
          <w:rFonts w:ascii="Verdana" w:hAnsi="Verdana"/>
          <w:sz w:val="20"/>
          <w:szCs w:val="20"/>
          <w:lang w:val="pt-BR"/>
        </w:rPr>
        <w:t xml:space="preserve"> de ser o maior prestador de serviços para </w:t>
      </w:r>
      <w:r w:rsidR="00CD5E5D" w:rsidRPr="001B4EA4">
        <w:rPr>
          <w:rFonts w:ascii="Verdana" w:hAnsi="Verdana"/>
          <w:sz w:val="20"/>
          <w:szCs w:val="20"/>
          <w:lang w:val="pt-BR"/>
        </w:rPr>
        <w:t xml:space="preserve">passar a </w:t>
      </w:r>
      <w:r w:rsidR="0047035D" w:rsidRPr="001B4EA4">
        <w:rPr>
          <w:rFonts w:ascii="Verdana" w:hAnsi="Verdana"/>
          <w:sz w:val="20"/>
          <w:szCs w:val="20"/>
          <w:lang w:val="pt-BR"/>
        </w:rPr>
        <w:t>atuar como agente impulsionador da iniciativa privada.</w:t>
      </w:r>
      <w:r w:rsidR="00275ED3" w:rsidRPr="001B4EA4">
        <w:rPr>
          <w:rFonts w:ascii="Verdana" w:hAnsi="Verdana"/>
          <w:sz w:val="20"/>
          <w:szCs w:val="20"/>
          <w:lang w:val="pt-BR"/>
        </w:rPr>
        <w:t xml:space="preserve"> </w:t>
      </w:r>
    </w:p>
    <w:p w14:paraId="2AB20E79" w14:textId="4A6CC864" w:rsidR="00960553" w:rsidRPr="001B4EA4" w:rsidRDefault="00995F2B" w:rsidP="001B4EA4">
      <w:pPr>
        <w:spacing w:line="276" w:lineRule="auto"/>
        <w:ind w:firstLine="708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>Qualquer</w:t>
      </w:r>
      <w:r w:rsidR="00A51678" w:rsidRPr="001B4EA4">
        <w:rPr>
          <w:rFonts w:ascii="Verdana" w:hAnsi="Verdana"/>
          <w:sz w:val="20"/>
          <w:szCs w:val="20"/>
          <w:lang w:val="pt-BR"/>
        </w:rPr>
        <w:t xml:space="preserve"> processo de privatização </w:t>
      </w:r>
      <w:r w:rsidR="001B5B93" w:rsidRPr="001B4EA4">
        <w:rPr>
          <w:rFonts w:ascii="Verdana" w:hAnsi="Verdana"/>
          <w:sz w:val="20"/>
          <w:szCs w:val="20"/>
          <w:lang w:val="pt-BR"/>
        </w:rPr>
        <w:t>é complexo</w:t>
      </w:r>
      <w:r w:rsidRPr="001B4EA4">
        <w:rPr>
          <w:rFonts w:ascii="Verdana" w:hAnsi="Verdana"/>
          <w:sz w:val="20"/>
          <w:szCs w:val="20"/>
          <w:lang w:val="pt-BR"/>
        </w:rPr>
        <w:t>,</w:t>
      </w:r>
      <w:r w:rsidR="001B5B93" w:rsidRPr="001B4EA4">
        <w:rPr>
          <w:rFonts w:ascii="Verdana" w:hAnsi="Verdana"/>
          <w:sz w:val="20"/>
          <w:szCs w:val="20"/>
          <w:lang w:val="pt-BR"/>
        </w:rPr>
        <w:t xml:space="preserve"> e seu sucesso exige planejamento, execução diligente e mecanismos robustos de acompanhamento e fiscalização de resultados</w:t>
      </w:r>
      <w:r w:rsidRPr="001B4EA4">
        <w:rPr>
          <w:rFonts w:ascii="Verdana" w:hAnsi="Verdana"/>
          <w:sz w:val="20"/>
          <w:szCs w:val="20"/>
          <w:lang w:val="pt-BR"/>
        </w:rPr>
        <w:t>, de forma que se garanta</w:t>
      </w:r>
      <w:r w:rsidR="0047734F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="002A572E" w:rsidRPr="001B4EA4">
        <w:rPr>
          <w:rFonts w:ascii="Verdana" w:hAnsi="Verdana"/>
          <w:sz w:val="20"/>
          <w:szCs w:val="20"/>
          <w:lang w:val="pt-BR"/>
        </w:rPr>
        <w:t>a</w:t>
      </w:r>
      <w:r w:rsidR="0047734F" w:rsidRPr="001B4EA4">
        <w:rPr>
          <w:rFonts w:ascii="Verdana" w:hAnsi="Verdana"/>
          <w:sz w:val="20"/>
          <w:szCs w:val="20"/>
          <w:lang w:val="pt-BR"/>
        </w:rPr>
        <w:t xml:space="preserve"> transparência e </w:t>
      </w:r>
      <w:r w:rsidRPr="001B4EA4">
        <w:rPr>
          <w:rFonts w:ascii="Verdana" w:hAnsi="Verdana"/>
          <w:sz w:val="20"/>
          <w:szCs w:val="20"/>
          <w:lang w:val="pt-BR"/>
        </w:rPr>
        <w:t xml:space="preserve">que se </w:t>
      </w:r>
      <w:r w:rsidR="0047734F" w:rsidRPr="001B4EA4">
        <w:rPr>
          <w:rFonts w:ascii="Verdana" w:hAnsi="Verdana"/>
          <w:sz w:val="20"/>
          <w:szCs w:val="20"/>
          <w:lang w:val="pt-BR"/>
        </w:rPr>
        <w:t>co</w:t>
      </w:r>
      <w:r w:rsidRPr="001B4EA4">
        <w:rPr>
          <w:rFonts w:ascii="Verdana" w:hAnsi="Verdana"/>
          <w:sz w:val="20"/>
          <w:szCs w:val="20"/>
          <w:lang w:val="pt-BR"/>
        </w:rPr>
        <w:t>í</w:t>
      </w:r>
      <w:r w:rsidR="0047734F" w:rsidRPr="001B4EA4">
        <w:rPr>
          <w:rFonts w:ascii="Verdana" w:hAnsi="Verdana"/>
          <w:sz w:val="20"/>
          <w:szCs w:val="20"/>
          <w:lang w:val="pt-BR"/>
        </w:rPr>
        <w:t>b</w:t>
      </w:r>
      <w:r w:rsidRPr="001B4EA4">
        <w:rPr>
          <w:rFonts w:ascii="Verdana" w:hAnsi="Verdana"/>
          <w:sz w:val="20"/>
          <w:szCs w:val="20"/>
          <w:lang w:val="pt-BR"/>
        </w:rPr>
        <w:t>a</w:t>
      </w:r>
      <w:r w:rsidR="0047734F" w:rsidRPr="001B4EA4">
        <w:rPr>
          <w:rFonts w:ascii="Verdana" w:hAnsi="Verdana"/>
          <w:sz w:val="20"/>
          <w:szCs w:val="20"/>
          <w:lang w:val="pt-BR"/>
        </w:rPr>
        <w:t xml:space="preserve"> decisões discricionárias</w:t>
      </w:r>
      <w:r w:rsidR="002A572E" w:rsidRPr="001B4EA4">
        <w:rPr>
          <w:rFonts w:ascii="Verdana" w:hAnsi="Verdana"/>
          <w:sz w:val="20"/>
          <w:szCs w:val="20"/>
          <w:lang w:val="pt-BR"/>
        </w:rPr>
        <w:t>, antieconômicas</w:t>
      </w:r>
      <w:r w:rsidR="0047734F" w:rsidRPr="001B4EA4">
        <w:rPr>
          <w:rFonts w:ascii="Verdana" w:hAnsi="Verdana"/>
          <w:sz w:val="20"/>
          <w:szCs w:val="20"/>
          <w:lang w:val="pt-BR"/>
        </w:rPr>
        <w:t xml:space="preserve"> ou com motivações político-partidárias</w:t>
      </w:r>
      <w:r w:rsidR="001B5B93" w:rsidRPr="001B4EA4">
        <w:rPr>
          <w:rFonts w:ascii="Verdana" w:hAnsi="Verdana"/>
          <w:sz w:val="20"/>
          <w:szCs w:val="20"/>
          <w:lang w:val="pt-BR"/>
        </w:rPr>
        <w:t xml:space="preserve">. </w:t>
      </w:r>
    </w:p>
    <w:p w14:paraId="7F9C8FDF" w14:textId="135FC8D2" w:rsidR="00FB4CB7" w:rsidRPr="001B4EA4" w:rsidRDefault="00995F2B" w:rsidP="001B4EA4">
      <w:pPr>
        <w:spacing w:line="276" w:lineRule="auto"/>
        <w:ind w:firstLine="708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>Este</w:t>
      </w:r>
      <w:r w:rsidR="00960553" w:rsidRPr="001B4EA4">
        <w:rPr>
          <w:rFonts w:ascii="Verdana" w:hAnsi="Verdana"/>
          <w:sz w:val="20"/>
          <w:szCs w:val="20"/>
          <w:lang w:val="pt-BR"/>
        </w:rPr>
        <w:t xml:space="preserve"> documento pretende propor as melhores práticas para processos de privatização, </w:t>
      </w:r>
      <w:r w:rsidRPr="001B4EA4">
        <w:rPr>
          <w:rFonts w:ascii="Verdana" w:hAnsi="Verdana"/>
          <w:sz w:val="20"/>
          <w:szCs w:val="20"/>
          <w:lang w:val="pt-BR"/>
        </w:rPr>
        <w:t xml:space="preserve">expressão aqui </w:t>
      </w:r>
      <w:r w:rsidR="00960553" w:rsidRPr="001B4EA4">
        <w:rPr>
          <w:rFonts w:ascii="Verdana" w:hAnsi="Verdana"/>
          <w:sz w:val="20"/>
          <w:szCs w:val="20"/>
          <w:lang w:val="pt-BR"/>
        </w:rPr>
        <w:t>entendida como</w:t>
      </w:r>
      <w:r w:rsidR="00EA647B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="00CD5E5D" w:rsidRPr="001B4EA4">
        <w:rPr>
          <w:rFonts w:ascii="Verdana" w:hAnsi="Verdana"/>
          <w:sz w:val="20"/>
          <w:szCs w:val="20"/>
          <w:lang w:val="pt-BR"/>
        </w:rPr>
        <w:t xml:space="preserve">o </w:t>
      </w:r>
      <w:r w:rsidR="00EA647B" w:rsidRPr="001B4EA4">
        <w:rPr>
          <w:rFonts w:ascii="Verdana" w:hAnsi="Verdana"/>
          <w:sz w:val="20"/>
          <w:szCs w:val="20"/>
          <w:lang w:val="pt-BR"/>
        </w:rPr>
        <w:t>tipo de desestatização realizad</w:t>
      </w:r>
      <w:r w:rsidRPr="001B4EA4">
        <w:rPr>
          <w:rFonts w:ascii="Verdana" w:hAnsi="Verdana"/>
          <w:sz w:val="20"/>
          <w:szCs w:val="20"/>
          <w:lang w:val="pt-BR"/>
        </w:rPr>
        <w:t>a</w:t>
      </w:r>
      <w:r w:rsidR="00EA647B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Pr="001B4EA4">
        <w:rPr>
          <w:rFonts w:ascii="Verdana" w:hAnsi="Verdana"/>
          <w:sz w:val="20"/>
          <w:szCs w:val="20"/>
          <w:lang w:val="pt-BR"/>
        </w:rPr>
        <w:t>por meio da</w:t>
      </w:r>
      <w:r w:rsidR="00960553" w:rsidRPr="001B4EA4">
        <w:rPr>
          <w:rFonts w:ascii="Verdana" w:hAnsi="Verdana"/>
          <w:sz w:val="20"/>
          <w:szCs w:val="20"/>
          <w:lang w:val="pt-BR"/>
        </w:rPr>
        <w:t xml:space="preserve"> alienação de empresas estatais e </w:t>
      </w:r>
      <w:r w:rsidRPr="001B4EA4">
        <w:rPr>
          <w:rFonts w:ascii="Verdana" w:hAnsi="Verdana"/>
          <w:sz w:val="20"/>
          <w:szCs w:val="20"/>
          <w:lang w:val="pt-BR"/>
        </w:rPr>
        <w:t xml:space="preserve">de </w:t>
      </w:r>
      <w:r w:rsidR="00960553" w:rsidRPr="001B4EA4">
        <w:rPr>
          <w:rFonts w:ascii="Verdana" w:hAnsi="Verdana"/>
          <w:sz w:val="20"/>
          <w:szCs w:val="20"/>
          <w:lang w:val="pt-BR"/>
        </w:rPr>
        <w:t xml:space="preserve">seus ativos. </w:t>
      </w:r>
    </w:p>
    <w:p w14:paraId="2A301081" w14:textId="23910608" w:rsidR="003B311B" w:rsidRPr="001B4EA4" w:rsidRDefault="00CC3CA5" w:rsidP="001B4EA4">
      <w:pPr>
        <w:spacing w:line="276" w:lineRule="auto"/>
        <w:ind w:firstLine="708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>A noção de d</w:t>
      </w:r>
      <w:r w:rsidR="00D47FD8" w:rsidRPr="001B4EA4">
        <w:rPr>
          <w:rFonts w:ascii="Verdana" w:hAnsi="Verdana"/>
          <w:sz w:val="20"/>
          <w:szCs w:val="20"/>
          <w:lang w:val="pt-BR"/>
        </w:rPr>
        <w:t xml:space="preserve">esestatização </w:t>
      </w:r>
      <w:r w:rsidRPr="001B4EA4">
        <w:rPr>
          <w:rFonts w:ascii="Verdana" w:hAnsi="Verdana"/>
          <w:sz w:val="20"/>
          <w:szCs w:val="20"/>
          <w:lang w:val="pt-BR"/>
        </w:rPr>
        <w:t>tem um sentido amplo</w:t>
      </w:r>
      <w:r w:rsidR="00641B16" w:rsidRPr="001B4EA4">
        <w:rPr>
          <w:rFonts w:ascii="Verdana" w:hAnsi="Verdana"/>
          <w:sz w:val="20"/>
          <w:szCs w:val="20"/>
          <w:lang w:val="pt-BR"/>
        </w:rPr>
        <w:t xml:space="preserve">, </w:t>
      </w:r>
      <w:r w:rsidR="00467C80" w:rsidRPr="001B4EA4">
        <w:rPr>
          <w:rFonts w:ascii="Verdana" w:hAnsi="Verdana"/>
          <w:sz w:val="20"/>
          <w:szCs w:val="20"/>
          <w:lang w:val="pt-BR"/>
        </w:rPr>
        <w:t xml:space="preserve">sendo o termo </w:t>
      </w:r>
      <w:r w:rsidR="003B311B" w:rsidRPr="001B4EA4">
        <w:rPr>
          <w:rFonts w:ascii="Verdana" w:hAnsi="Verdana"/>
          <w:sz w:val="20"/>
          <w:szCs w:val="20"/>
          <w:lang w:val="pt-BR"/>
        </w:rPr>
        <w:t>muitas vezes utilizado como</w:t>
      </w:r>
      <w:r w:rsidR="00641B16" w:rsidRPr="001B4EA4">
        <w:rPr>
          <w:rFonts w:ascii="Verdana" w:hAnsi="Verdana"/>
          <w:sz w:val="20"/>
          <w:szCs w:val="20"/>
          <w:lang w:val="pt-BR"/>
        </w:rPr>
        <w:t xml:space="preserve"> sinônimo </w:t>
      </w:r>
      <w:r w:rsidR="00995F2B" w:rsidRPr="001B4EA4">
        <w:rPr>
          <w:rFonts w:ascii="Verdana" w:hAnsi="Verdana"/>
          <w:sz w:val="20"/>
          <w:szCs w:val="20"/>
          <w:lang w:val="pt-BR"/>
        </w:rPr>
        <w:t>de</w:t>
      </w:r>
      <w:r w:rsidR="00641B16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="00467C80" w:rsidRPr="001B4EA4">
        <w:rPr>
          <w:rFonts w:ascii="Verdana" w:hAnsi="Verdana"/>
          <w:sz w:val="20"/>
          <w:szCs w:val="20"/>
          <w:lang w:val="pt-BR"/>
        </w:rPr>
        <w:t xml:space="preserve">técnicas </w:t>
      </w:r>
      <w:r w:rsidR="003B311B" w:rsidRPr="001B4EA4">
        <w:rPr>
          <w:rFonts w:ascii="Verdana" w:hAnsi="Verdana"/>
          <w:sz w:val="20"/>
          <w:szCs w:val="20"/>
          <w:lang w:val="pt-BR"/>
        </w:rPr>
        <w:t>e processos</w:t>
      </w:r>
      <w:r w:rsidR="00641B16" w:rsidRPr="001B4EA4">
        <w:rPr>
          <w:rFonts w:ascii="Verdana" w:hAnsi="Verdana"/>
          <w:sz w:val="20"/>
          <w:szCs w:val="20"/>
          <w:lang w:val="pt-BR"/>
        </w:rPr>
        <w:t xml:space="preserve"> relacionados à </w:t>
      </w:r>
      <w:r w:rsidR="003B311B" w:rsidRPr="001B4EA4">
        <w:rPr>
          <w:rFonts w:ascii="Verdana" w:hAnsi="Verdana"/>
          <w:sz w:val="20"/>
          <w:szCs w:val="20"/>
          <w:lang w:val="pt-BR"/>
        </w:rPr>
        <w:t xml:space="preserve">diminuição </w:t>
      </w:r>
      <w:r w:rsidR="00995F2B" w:rsidRPr="001B4EA4">
        <w:rPr>
          <w:rFonts w:ascii="Verdana" w:hAnsi="Verdana"/>
          <w:sz w:val="20"/>
          <w:szCs w:val="20"/>
          <w:lang w:val="pt-BR"/>
        </w:rPr>
        <w:t>da</w:t>
      </w:r>
      <w:r w:rsidR="00643B62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="003B311B" w:rsidRPr="001B4EA4">
        <w:rPr>
          <w:rFonts w:ascii="Verdana" w:hAnsi="Verdana"/>
          <w:sz w:val="20"/>
          <w:szCs w:val="20"/>
          <w:lang w:val="pt-BR"/>
        </w:rPr>
        <w:t>presença estatal e</w:t>
      </w:r>
      <w:r w:rsidR="00995F2B" w:rsidRPr="001B4EA4">
        <w:rPr>
          <w:rFonts w:ascii="Verdana" w:hAnsi="Verdana"/>
          <w:sz w:val="20"/>
          <w:szCs w:val="20"/>
          <w:lang w:val="pt-BR"/>
        </w:rPr>
        <w:t xml:space="preserve"> ao</w:t>
      </w:r>
      <w:r w:rsidR="003B311B" w:rsidRPr="001B4EA4">
        <w:rPr>
          <w:rFonts w:ascii="Verdana" w:hAnsi="Verdana"/>
          <w:sz w:val="20"/>
          <w:szCs w:val="20"/>
          <w:lang w:val="pt-BR"/>
        </w:rPr>
        <w:t xml:space="preserve"> fortalecimento da iniciativa privada na explo</w:t>
      </w:r>
      <w:r w:rsidR="00CA70ED" w:rsidRPr="001B4EA4">
        <w:rPr>
          <w:rFonts w:ascii="Verdana" w:hAnsi="Verdana"/>
          <w:sz w:val="20"/>
          <w:szCs w:val="20"/>
          <w:lang w:val="pt-BR"/>
        </w:rPr>
        <w:t>ração de atividades econômicas. A</w:t>
      </w:r>
      <w:r w:rsidR="00467C80" w:rsidRPr="001B4EA4">
        <w:rPr>
          <w:rFonts w:ascii="Verdana" w:hAnsi="Verdana"/>
          <w:sz w:val="20"/>
          <w:szCs w:val="20"/>
          <w:lang w:val="pt-BR"/>
        </w:rPr>
        <w:t xml:space="preserve"> doutrina </w:t>
      </w:r>
      <w:r w:rsidR="00643B62" w:rsidRPr="001B4EA4">
        <w:rPr>
          <w:rFonts w:ascii="Verdana" w:hAnsi="Verdana"/>
          <w:sz w:val="20"/>
          <w:szCs w:val="20"/>
          <w:lang w:val="pt-BR"/>
        </w:rPr>
        <w:t xml:space="preserve">jurídica </w:t>
      </w:r>
      <w:r w:rsidR="00CA70ED" w:rsidRPr="001B4EA4">
        <w:rPr>
          <w:rFonts w:ascii="Verdana" w:hAnsi="Verdana"/>
          <w:sz w:val="20"/>
          <w:szCs w:val="20"/>
          <w:lang w:val="pt-BR"/>
        </w:rPr>
        <w:t xml:space="preserve">engloba </w:t>
      </w:r>
      <w:r w:rsidR="00467C80" w:rsidRPr="001B4EA4">
        <w:rPr>
          <w:rFonts w:ascii="Verdana" w:hAnsi="Verdana"/>
          <w:sz w:val="20"/>
          <w:szCs w:val="20"/>
          <w:lang w:val="pt-BR"/>
        </w:rPr>
        <w:t xml:space="preserve">os mais variados entendimentos sobre a multiplicidade semântica </w:t>
      </w:r>
      <w:r w:rsidR="00CA70ED" w:rsidRPr="001B4EA4">
        <w:rPr>
          <w:rFonts w:ascii="Verdana" w:hAnsi="Verdana"/>
          <w:sz w:val="20"/>
          <w:szCs w:val="20"/>
          <w:lang w:val="pt-BR"/>
        </w:rPr>
        <w:t>dos termos</w:t>
      </w:r>
      <w:r w:rsidR="00467C80" w:rsidRPr="001B4EA4">
        <w:rPr>
          <w:rFonts w:ascii="Verdana" w:hAnsi="Verdana"/>
          <w:sz w:val="20"/>
          <w:szCs w:val="20"/>
          <w:lang w:val="pt-BR"/>
        </w:rPr>
        <w:t xml:space="preserve"> privatização, desestatização, despublicização, desregulação, liberalização, descentralizaç</w:t>
      </w:r>
      <w:r w:rsidR="00CA70ED" w:rsidRPr="001B4EA4">
        <w:rPr>
          <w:rFonts w:ascii="Verdana" w:hAnsi="Verdana"/>
          <w:sz w:val="20"/>
          <w:szCs w:val="20"/>
          <w:lang w:val="pt-BR"/>
        </w:rPr>
        <w:t xml:space="preserve">ão, terceirização, entre </w:t>
      </w:r>
      <w:r w:rsidR="00467C80" w:rsidRPr="001B4EA4">
        <w:rPr>
          <w:rFonts w:ascii="Verdana" w:hAnsi="Verdana"/>
          <w:sz w:val="20"/>
          <w:szCs w:val="20"/>
          <w:lang w:val="pt-BR"/>
        </w:rPr>
        <w:t>outros.</w:t>
      </w:r>
    </w:p>
    <w:p w14:paraId="3BC8B80E" w14:textId="111D3A29" w:rsidR="00280864" w:rsidRPr="001B4EA4" w:rsidRDefault="003B311B" w:rsidP="001B4EA4">
      <w:pPr>
        <w:spacing w:line="276" w:lineRule="auto"/>
        <w:ind w:firstLine="708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>N</w:t>
      </w:r>
      <w:r w:rsidR="00CC3CA5" w:rsidRPr="001B4EA4">
        <w:rPr>
          <w:rFonts w:ascii="Verdana" w:hAnsi="Verdana"/>
          <w:sz w:val="20"/>
          <w:szCs w:val="20"/>
          <w:lang w:val="pt-BR"/>
        </w:rPr>
        <w:t xml:space="preserve">o Brasil, </w:t>
      </w:r>
      <w:r w:rsidR="00467C80" w:rsidRPr="001B4EA4">
        <w:rPr>
          <w:rFonts w:ascii="Verdana" w:hAnsi="Verdana"/>
          <w:sz w:val="20"/>
          <w:szCs w:val="20"/>
          <w:lang w:val="pt-BR"/>
        </w:rPr>
        <w:t xml:space="preserve">o </w:t>
      </w:r>
      <w:r w:rsidR="00CC3CA5" w:rsidRPr="001B4EA4">
        <w:rPr>
          <w:rFonts w:ascii="Verdana" w:hAnsi="Verdana"/>
          <w:sz w:val="20"/>
          <w:szCs w:val="20"/>
          <w:lang w:val="pt-BR"/>
        </w:rPr>
        <w:t>Plano Nacional de Desestatização</w:t>
      </w:r>
      <w:r w:rsidR="00CC3CA5" w:rsidRPr="001B4EA4">
        <w:rPr>
          <w:rStyle w:val="Refdenotaderodap"/>
          <w:rFonts w:ascii="Verdana" w:hAnsi="Verdana"/>
          <w:sz w:val="20"/>
          <w:szCs w:val="20"/>
          <w:lang w:val="pt-BR"/>
        </w:rPr>
        <w:footnoteReference w:id="2"/>
      </w:r>
      <w:r w:rsidR="00CA70ED" w:rsidRPr="001B4EA4">
        <w:rPr>
          <w:rFonts w:ascii="Verdana" w:hAnsi="Verdana"/>
          <w:sz w:val="20"/>
          <w:szCs w:val="20"/>
          <w:lang w:val="pt-BR"/>
        </w:rPr>
        <w:t xml:space="preserve"> (PND</w:t>
      </w:r>
      <w:r w:rsidR="00B360F5" w:rsidRPr="001B4EA4">
        <w:rPr>
          <w:rFonts w:ascii="Verdana" w:hAnsi="Verdana"/>
          <w:sz w:val="20"/>
          <w:szCs w:val="20"/>
          <w:lang w:val="pt-BR"/>
        </w:rPr>
        <w:t>)</w:t>
      </w:r>
      <w:r w:rsidR="00643B62" w:rsidRPr="001B4EA4">
        <w:rPr>
          <w:rFonts w:ascii="Verdana" w:hAnsi="Verdana"/>
          <w:sz w:val="20"/>
          <w:szCs w:val="20"/>
          <w:lang w:val="pt-BR"/>
        </w:rPr>
        <w:t xml:space="preserve"> conceituou desestatização como </w:t>
      </w:r>
      <w:r w:rsidR="009C6534" w:rsidRPr="001B4EA4">
        <w:rPr>
          <w:rFonts w:ascii="Verdana" w:hAnsi="Verdana"/>
          <w:sz w:val="20"/>
          <w:szCs w:val="20"/>
          <w:lang w:val="pt-BR"/>
        </w:rPr>
        <w:t xml:space="preserve">a transferência de atividades estatais ao setor privado por meio de concessões, permissões e autorizações ou </w:t>
      </w:r>
      <w:r w:rsidR="00CC3CA5" w:rsidRPr="001B4EA4">
        <w:rPr>
          <w:rFonts w:ascii="Verdana" w:hAnsi="Verdana"/>
          <w:sz w:val="20"/>
          <w:szCs w:val="20"/>
          <w:lang w:val="pt-BR"/>
        </w:rPr>
        <w:t xml:space="preserve">a </w:t>
      </w:r>
      <w:r w:rsidR="00643B62" w:rsidRPr="001B4EA4">
        <w:rPr>
          <w:rFonts w:ascii="Verdana" w:hAnsi="Verdana"/>
          <w:sz w:val="20"/>
          <w:szCs w:val="20"/>
          <w:lang w:val="pt-BR"/>
        </w:rPr>
        <w:t>venda</w:t>
      </w:r>
      <w:r w:rsidR="00CC3CA5" w:rsidRPr="001B4EA4">
        <w:rPr>
          <w:rFonts w:ascii="Verdana" w:hAnsi="Verdana"/>
          <w:sz w:val="20"/>
          <w:szCs w:val="20"/>
          <w:lang w:val="pt-BR"/>
        </w:rPr>
        <w:t xml:space="preserve"> de empresas estatais à iniciativa privada</w:t>
      </w:r>
      <w:r w:rsidR="00643B62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="009C6534" w:rsidRPr="001B4EA4">
        <w:rPr>
          <w:rFonts w:ascii="Verdana" w:hAnsi="Verdana"/>
          <w:sz w:val="20"/>
          <w:szCs w:val="20"/>
          <w:lang w:val="pt-BR"/>
        </w:rPr>
        <w:t>por</w:t>
      </w:r>
      <w:r w:rsidR="00643B62" w:rsidRPr="001B4EA4">
        <w:rPr>
          <w:rFonts w:ascii="Verdana" w:hAnsi="Verdana"/>
          <w:sz w:val="20"/>
          <w:szCs w:val="20"/>
          <w:lang w:val="pt-BR"/>
        </w:rPr>
        <w:t xml:space="preserve"> (i) alienação de participação societária; (ii) abertura de capital</w:t>
      </w:r>
      <w:r w:rsidR="009C6534" w:rsidRPr="001B4EA4">
        <w:rPr>
          <w:rFonts w:ascii="Verdana" w:hAnsi="Verdana"/>
          <w:sz w:val="20"/>
          <w:szCs w:val="20"/>
          <w:lang w:val="pt-BR"/>
        </w:rPr>
        <w:t>; (iii) aumento de capital, com renúncia ou cessão, total ou parcial, de direitos de subscrição; (iv)</w:t>
      </w:r>
      <w:r w:rsidR="001B5DEF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="009C6534" w:rsidRPr="001B4EA4">
        <w:rPr>
          <w:rFonts w:ascii="Verdana" w:hAnsi="Verdana"/>
          <w:sz w:val="20"/>
          <w:szCs w:val="20"/>
          <w:lang w:val="pt-BR"/>
        </w:rPr>
        <w:t>alienação, arrendamento, locação, comodato ou cessão de bens e instalações; ou (v) dissolução de sociedades e alienação de seus ativos</w:t>
      </w:r>
      <w:r w:rsidR="00CC3CA5" w:rsidRPr="001B4EA4">
        <w:rPr>
          <w:rFonts w:ascii="Verdana" w:hAnsi="Verdana"/>
          <w:sz w:val="20"/>
          <w:szCs w:val="20"/>
          <w:lang w:val="pt-BR"/>
        </w:rPr>
        <w:t xml:space="preserve">. </w:t>
      </w:r>
    </w:p>
    <w:p w14:paraId="7A7D5B94" w14:textId="073D5EB8" w:rsidR="00BA0D9A" w:rsidRPr="001B4EA4" w:rsidRDefault="001B5DEF" w:rsidP="001B4EA4">
      <w:pPr>
        <w:spacing w:line="276" w:lineRule="auto"/>
        <w:ind w:firstLine="708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 xml:space="preserve">Tendo em conta a relevância de cada técnica </w:t>
      </w:r>
      <w:r w:rsidR="00CA70ED" w:rsidRPr="001B4EA4">
        <w:rPr>
          <w:rFonts w:ascii="Verdana" w:hAnsi="Verdana"/>
          <w:sz w:val="20"/>
          <w:szCs w:val="20"/>
          <w:lang w:val="pt-BR"/>
        </w:rPr>
        <w:t>mencionada</w:t>
      </w:r>
      <w:r w:rsidRPr="001B4EA4">
        <w:rPr>
          <w:rFonts w:ascii="Verdana" w:hAnsi="Verdana"/>
          <w:sz w:val="20"/>
          <w:szCs w:val="20"/>
          <w:lang w:val="pt-BR"/>
        </w:rPr>
        <w:t xml:space="preserve">, </w:t>
      </w:r>
      <w:r w:rsidR="00BA0D9A" w:rsidRPr="001B4EA4">
        <w:rPr>
          <w:rFonts w:ascii="Verdana" w:hAnsi="Verdana"/>
          <w:sz w:val="20"/>
          <w:szCs w:val="20"/>
          <w:lang w:val="pt-BR"/>
        </w:rPr>
        <w:t>optamos por abordar</w:t>
      </w:r>
      <w:r w:rsidR="00CA70ED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Pr="001B4EA4">
        <w:rPr>
          <w:rFonts w:ascii="Verdana" w:hAnsi="Verdana"/>
          <w:sz w:val="20"/>
          <w:szCs w:val="20"/>
          <w:lang w:val="pt-BR"/>
        </w:rPr>
        <w:t>de forma aprofundada</w:t>
      </w:r>
      <w:r w:rsidR="00CA70ED" w:rsidRPr="001B4EA4">
        <w:rPr>
          <w:rFonts w:ascii="Verdana" w:hAnsi="Verdana"/>
          <w:sz w:val="20"/>
          <w:szCs w:val="20"/>
          <w:lang w:val="pt-BR"/>
        </w:rPr>
        <w:t>, neste documento,</w:t>
      </w:r>
      <w:r w:rsidR="00BA0D9A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Pr="001B4EA4">
        <w:rPr>
          <w:rFonts w:ascii="Verdana" w:hAnsi="Verdana"/>
          <w:sz w:val="20"/>
          <w:szCs w:val="20"/>
          <w:lang w:val="pt-BR"/>
        </w:rPr>
        <w:t>a</w:t>
      </w:r>
      <w:r w:rsidR="00BA0D9A" w:rsidRPr="001B4EA4">
        <w:rPr>
          <w:rFonts w:ascii="Verdana" w:hAnsi="Verdana"/>
          <w:sz w:val="20"/>
          <w:szCs w:val="20"/>
          <w:lang w:val="pt-BR"/>
        </w:rPr>
        <w:t xml:space="preserve"> venda de estatais e </w:t>
      </w:r>
      <w:r w:rsidR="00CA70ED" w:rsidRPr="001B4EA4">
        <w:rPr>
          <w:rFonts w:ascii="Verdana" w:hAnsi="Verdana"/>
          <w:sz w:val="20"/>
          <w:szCs w:val="20"/>
          <w:lang w:val="pt-BR"/>
        </w:rPr>
        <w:t xml:space="preserve">de </w:t>
      </w:r>
      <w:r w:rsidR="00BA0D9A" w:rsidRPr="001B4EA4">
        <w:rPr>
          <w:rFonts w:ascii="Verdana" w:hAnsi="Verdana"/>
          <w:sz w:val="20"/>
          <w:szCs w:val="20"/>
          <w:lang w:val="pt-BR"/>
        </w:rPr>
        <w:t>seus ativos</w:t>
      </w:r>
      <w:r w:rsidR="00CA70ED" w:rsidRPr="001B4EA4">
        <w:rPr>
          <w:rFonts w:ascii="Verdana" w:hAnsi="Verdana"/>
          <w:sz w:val="20"/>
          <w:szCs w:val="20"/>
          <w:lang w:val="pt-BR"/>
        </w:rPr>
        <w:t>,</w:t>
      </w:r>
      <w:r w:rsidR="00BA0D9A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Pr="001B4EA4">
        <w:rPr>
          <w:rFonts w:ascii="Verdana" w:hAnsi="Verdana"/>
          <w:sz w:val="20"/>
          <w:szCs w:val="20"/>
          <w:lang w:val="pt-BR"/>
        </w:rPr>
        <w:t>por</w:t>
      </w:r>
      <w:r w:rsidR="00BA0D9A" w:rsidRPr="001B4EA4">
        <w:rPr>
          <w:rFonts w:ascii="Verdana" w:hAnsi="Verdana"/>
          <w:sz w:val="20"/>
          <w:szCs w:val="20"/>
          <w:lang w:val="pt-BR"/>
        </w:rPr>
        <w:t xml:space="preserve"> trata</w:t>
      </w:r>
      <w:r w:rsidR="00CA70ED" w:rsidRPr="001B4EA4">
        <w:rPr>
          <w:rFonts w:ascii="Verdana" w:hAnsi="Verdana"/>
          <w:sz w:val="20"/>
          <w:szCs w:val="20"/>
          <w:lang w:val="pt-BR"/>
        </w:rPr>
        <w:t>r</w:t>
      </w:r>
      <w:r w:rsidR="00BA0D9A" w:rsidRPr="001B4EA4">
        <w:rPr>
          <w:rFonts w:ascii="Verdana" w:hAnsi="Verdana"/>
          <w:sz w:val="20"/>
          <w:szCs w:val="20"/>
          <w:lang w:val="pt-BR"/>
        </w:rPr>
        <w:t>-se de um processo de desestatização mais completo</w:t>
      </w:r>
      <w:r w:rsidR="00CA70ED" w:rsidRPr="001B4EA4">
        <w:rPr>
          <w:rFonts w:ascii="Verdana" w:hAnsi="Verdana"/>
          <w:sz w:val="20"/>
          <w:szCs w:val="20"/>
          <w:lang w:val="pt-BR"/>
        </w:rPr>
        <w:t xml:space="preserve"> —</w:t>
      </w:r>
      <w:r w:rsidRPr="001B4EA4">
        <w:rPr>
          <w:rFonts w:ascii="Verdana" w:hAnsi="Verdana"/>
          <w:sz w:val="20"/>
          <w:szCs w:val="20"/>
          <w:lang w:val="pt-BR"/>
        </w:rPr>
        <w:t xml:space="preserve"> envolve</w:t>
      </w:r>
      <w:r w:rsidR="00BA0D9A" w:rsidRPr="001B4EA4">
        <w:rPr>
          <w:rFonts w:ascii="Verdana" w:hAnsi="Verdana"/>
          <w:sz w:val="20"/>
          <w:szCs w:val="20"/>
          <w:lang w:val="pt-BR"/>
        </w:rPr>
        <w:t xml:space="preserve"> uma alienação definitiva e não de um negócio jurídico transitório. Ademais, o IBGC </w:t>
      </w:r>
      <w:r w:rsidR="00CA70ED" w:rsidRPr="001B4EA4">
        <w:rPr>
          <w:rFonts w:ascii="Verdana" w:hAnsi="Verdana"/>
          <w:sz w:val="20"/>
          <w:szCs w:val="20"/>
          <w:lang w:val="pt-BR"/>
        </w:rPr>
        <w:t>percebe</w:t>
      </w:r>
      <w:r w:rsidR="00BA0D9A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Pr="001B4EA4">
        <w:rPr>
          <w:rFonts w:ascii="Verdana" w:hAnsi="Verdana"/>
          <w:sz w:val="20"/>
          <w:szCs w:val="20"/>
          <w:lang w:val="pt-BR"/>
        </w:rPr>
        <w:t>nes</w:t>
      </w:r>
      <w:r w:rsidR="00CA70ED" w:rsidRPr="001B4EA4">
        <w:rPr>
          <w:rFonts w:ascii="Verdana" w:hAnsi="Verdana"/>
          <w:sz w:val="20"/>
          <w:szCs w:val="20"/>
          <w:lang w:val="pt-BR"/>
        </w:rPr>
        <w:t>s</w:t>
      </w:r>
      <w:r w:rsidRPr="001B4EA4">
        <w:rPr>
          <w:rFonts w:ascii="Verdana" w:hAnsi="Verdana"/>
          <w:sz w:val="20"/>
          <w:szCs w:val="20"/>
          <w:lang w:val="pt-BR"/>
        </w:rPr>
        <w:t xml:space="preserve">e tipo de transação </w:t>
      </w:r>
      <w:r w:rsidR="00983795" w:rsidRPr="001B4EA4">
        <w:rPr>
          <w:rFonts w:ascii="Verdana" w:hAnsi="Verdana"/>
          <w:sz w:val="20"/>
          <w:szCs w:val="20"/>
          <w:lang w:val="pt-BR"/>
        </w:rPr>
        <w:t xml:space="preserve">um </w:t>
      </w:r>
      <w:r w:rsidR="00BA0D9A" w:rsidRPr="001B4EA4">
        <w:rPr>
          <w:rFonts w:ascii="Verdana" w:hAnsi="Verdana"/>
          <w:sz w:val="20"/>
          <w:szCs w:val="20"/>
          <w:lang w:val="pt-BR"/>
        </w:rPr>
        <w:t xml:space="preserve">maior potencial para </w:t>
      </w:r>
      <w:r w:rsidR="00CD5E5D" w:rsidRPr="001B4EA4">
        <w:rPr>
          <w:rFonts w:ascii="Verdana" w:hAnsi="Verdana"/>
          <w:sz w:val="20"/>
          <w:szCs w:val="20"/>
          <w:lang w:val="pt-BR"/>
        </w:rPr>
        <w:t xml:space="preserve">surgirem </w:t>
      </w:r>
      <w:r w:rsidR="00BA0D9A" w:rsidRPr="001B4EA4">
        <w:rPr>
          <w:rFonts w:ascii="Verdana" w:hAnsi="Verdana"/>
          <w:sz w:val="20"/>
          <w:szCs w:val="20"/>
          <w:lang w:val="pt-BR"/>
        </w:rPr>
        <w:t>benefício</w:t>
      </w:r>
      <w:r w:rsidR="00CA70ED" w:rsidRPr="001B4EA4">
        <w:rPr>
          <w:rFonts w:ascii="Verdana" w:hAnsi="Verdana"/>
          <w:sz w:val="20"/>
          <w:szCs w:val="20"/>
          <w:lang w:val="pt-BR"/>
        </w:rPr>
        <w:t>s</w:t>
      </w:r>
      <w:r w:rsidR="00BA0D9A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="00CA70ED" w:rsidRPr="001B4EA4">
        <w:rPr>
          <w:rFonts w:ascii="Verdana" w:hAnsi="Verdana"/>
          <w:sz w:val="20"/>
          <w:szCs w:val="20"/>
          <w:lang w:val="pt-BR"/>
        </w:rPr>
        <w:t xml:space="preserve">com </w:t>
      </w:r>
      <w:r w:rsidR="00BA0D9A" w:rsidRPr="001B4EA4">
        <w:rPr>
          <w:rFonts w:ascii="Verdana" w:hAnsi="Verdana"/>
          <w:sz w:val="20"/>
          <w:szCs w:val="20"/>
          <w:lang w:val="pt-BR"/>
        </w:rPr>
        <w:t>a adoção de boas práticas de governança, aliando</w:t>
      </w:r>
      <w:r w:rsidR="00CA70ED" w:rsidRPr="001B4EA4">
        <w:rPr>
          <w:rFonts w:ascii="Verdana" w:hAnsi="Verdana"/>
          <w:sz w:val="20"/>
          <w:szCs w:val="20"/>
          <w:lang w:val="pt-BR"/>
        </w:rPr>
        <w:t>-se</w:t>
      </w:r>
      <w:r w:rsidR="00BA0D9A" w:rsidRPr="001B4EA4">
        <w:rPr>
          <w:rFonts w:ascii="Verdana" w:hAnsi="Verdana"/>
          <w:sz w:val="20"/>
          <w:szCs w:val="20"/>
          <w:lang w:val="pt-BR"/>
        </w:rPr>
        <w:t xml:space="preserve"> autorregulação </w:t>
      </w:r>
      <w:r w:rsidR="00CA70ED" w:rsidRPr="001B4EA4">
        <w:rPr>
          <w:rFonts w:ascii="Verdana" w:hAnsi="Verdana"/>
          <w:sz w:val="20"/>
          <w:szCs w:val="20"/>
          <w:lang w:val="pt-BR"/>
        </w:rPr>
        <w:t>e regulação</w:t>
      </w:r>
      <w:r w:rsidR="00BA0D9A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="00CA70ED" w:rsidRPr="001B4EA4">
        <w:rPr>
          <w:rFonts w:ascii="Verdana" w:hAnsi="Verdana"/>
          <w:sz w:val="20"/>
          <w:szCs w:val="20"/>
          <w:lang w:val="pt-BR"/>
        </w:rPr>
        <w:t xml:space="preserve">e com o envolvimento de </w:t>
      </w:r>
      <w:r w:rsidR="00BA0D9A" w:rsidRPr="001B4EA4">
        <w:rPr>
          <w:rFonts w:ascii="Verdana" w:hAnsi="Verdana"/>
          <w:sz w:val="20"/>
          <w:szCs w:val="20"/>
          <w:lang w:val="pt-BR"/>
        </w:rPr>
        <w:t>todos os atores desse complexo processo.</w:t>
      </w:r>
    </w:p>
    <w:p w14:paraId="69DF8835" w14:textId="12D2F60B" w:rsidR="00960553" w:rsidRDefault="00960553" w:rsidP="001B4EA4">
      <w:pPr>
        <w:spacing w:line="276" w:lineRule="auto"/>
        <w:ind w:firstLine="708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>Assim, não serão abordados</w:t>
      </w:r>
      <w:r w:rsidR="00FB4CB7" w:rsidRPr="001B4EA4">
        <w:rPr>
          <w:rFonts w:ascii="Verdana" w:hAnsi="Verdana"/>
          <w:sz w:val="20"/>
          <w:szCs w:val="20"/>
          <w:lang w:val="pt-BR"/>
        </w:rPr>
        <w:t xml:space="preserve"> outros tipos de </w:t>
      </w:r>
      <w:r w:rsidRPr="001B4EA4">
        <w:rPr>
          <w:rFonts w:ascii="Verdana" w:hAnsi="Verdana"/>
          <w:sz w:val="20"/>
          <w:szCs w:val="20"/>
          <w:lang w:val="pt-BR"/>
        </w:rPr>
        <w:t xml:space="preserve">desestatização </w:t>
      </w:r>
      <w:r w:rsidR="00CA70ED" w:rsidRPr="001B4EA4">
        <w:rPr>
          <w:rFonts w:ascii="Verdana" w:hAnsi="Verdana"/>
          <w:sz w:val="20"/>
          <w:szCs w:val="20"/>
          <w:lang w:val="pt-BR"/>
        </w:rPr>
        <w:t>feitas</w:t>
      </w:r>
      <w:r w:rsidRPr="001B4EA4">
        <w:rPr>
          <w:rFonts w:ascii="Verdana" w:hAnsi="Verdana"/>
          <w:sz w:val="20"/>
          <w:szCs w:val="20"/>
          <w:lang w:val="pt-BR"/>
        </w:rPr>
        <w:t xml:space="preserve"> por</w:t>
      </w:r>
      <w:r w:rsidR="00F5525E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="00FB4CB7" w:rsidRPr="001B4EA4">
        <w:rPr>
          <w:rFonts w:ascii="Verdana" w:hAnsi="Verdana"/>
          <w:sz w:val="20"/>
          <w:szCs w:val="20"/>
          <w:lang w:val="pt-BR"/>
        </w:rPr>
        <w:t>desinvestimento parcial ou total, extinção de empresas estatais sem transferência de suas atividades ao setor privado,</w:t>
      </w:r>
      <w:r w:rsidRPr="001B4EA4">
        <w:rPr>
          <w:rFonts w:ascii="Verdana" w:hAnsi="Verdana"/>
          <w:sz w:val="20"/>
          <w:szCs w:val="20"/>
          <w:lang w:val="pt-BR"/>
        </w:rPr>
        <w:t xml:space="preserve"> cessão de direitos contratuais, contratos administrativos, parcerias, convênios e outras relações público-privadas. </w:t>
      </w:r>
    </w:p>
    <w:p w14:paraId="2A6FA754" w14:textId="77777777" w:rsidR="001B4EA4" w:rsidRPr="001B4EA4" w:rsidRDefault="001B4EA4" w:rsidP="001B4EA4">
      <w:pPr>
        <w:spacing w:line="276" w:lineRule="auto"/>
        <w:ind w:firstLine="708"/>
        <w:jc w:val="both"/>
        <w:rPr>
          <w:rFonts w:ascii="Verdana" w:hAnsi="Verdana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713BDE" w:rsidRPr="001B4EA4" w14:paraId="7D680C0F" w14:textId="77777777" w:rsidTr="001B4EA4">
        <w:trPr>
          <w:trHeight w:val="696"/>
        </w:trPr>
        <w:tc>
          <w:tcPr>
            <w:tcW w:w="8494" w:type="dxa"/>
            <w:gridSpan w:val="3"/>
            <w:shd w:val="clear" w:color="auto" w:fill="000000" w:themeFill="text1"/>
            <w:vAlign w:val="center"/>
          </w:tcPr>
          <w:p w14:paraId="33E37A98" w14:textId="20AFDB6F" w:rsidR="00713BDE" w:rsidRPr="001B4EA4" w:rsidRDefault="00CA70ED" w:rsidP="001B4EA4">
            <w:pPr>
              <w:spacing w:line="276" w:lineRule="auto"/>
              <w:rPr>
                <w:rFonts w:ascii="Verdana" w:hAnsi="Verdana"/>
                <w:sz w:val="20"/>
                <w:szCs w:val="20"/>
                <w:lang w:val="pt-BR"/>
              </w:rPr>
            </w:pPr>
            <w:r w:rsidRPr="001B4EA4">
              <w:rPr>
                <w:rFonts w:ascii="Verdana" w:hAnsi="Verdana"/>
                <w:sz w:val="20"/>
                <w:szCs w:val="20"/>
                <w:lang w:val="pt-BR"/>
              </w:rPr>
              <w:t>“</w:t>
            </w:r>
            <w:r w:rsidR="00922BB5" w:rsidRPr="001B4EA4">
              <w:rPr>
                <w:rFonts w:ascii="Verdana" w:hAnsi="Verdana"/>
                <w:sz w:val="20"/>
                <w:szCs w:val="20"/>
                <w:lang w:val="pt-BR"/>
              </w:rPr>
              <w:t>D</w:t>
            </w:r>
            <w:r w:rsidR="001B3F09" w:rsidRPr="001B4EA4">
              <w:rPr>
                <w:rFonts w:ascii="Verdana" w:hAnsi="Verdana"/>
                <w:sz w:val="20"/>
                <w:szCs w:val="20"/>
                <w:lang w:val="pt-BR"/>
              </w:rPr>
              <w:t>esestatização</w:t>
            </w:r>
            <w:r w:rsidRPr="001B4EA4">
              <w:rPr>
                <w:rFonts w:ascii="Verdana" w:hAnsi="Verdana"/>
                <w:sz w:val="20"/>
                <w:szCs w:val="20"/>
                <w:lang w:val="pt-BR"/>
              </w:rPr>
              <w:t>”</w:t>
            </w:r>
            <w:r w:rsidR="00713BDE" w:rsidRPr="001B4EA4">
              <w:rPr>
                <w:rFonts w:ascii="Verdana" w:hAnsi="Verdana"/>
                <w:sz w:val="20"/>
                <w:szCs w:val="20"/>
                <w:lang w:val="pt-BR"/>
              </w:rPr>
              <w:t xml:space="preserve"> segundo o Programa Nacional de Desestatização</w:t>
            </w:r>
          </w:p>
          <w:p w14:paraId="220D905D" w14:textId="38E2DB75" w:rsidR="00713BDE" w:rsidRPr="001B4EA4" w:rsidRDefault="00713BDE" w:rsidP="001B4EA4">
            <w:pPr>
              <w:spacing w:line="276" w:lineRule="auto"/>
              <w:rPr>
                <w:rFonts w:ascii="Verdana" w:hAnsi="Verdana"/>
                <w:sz w:val="20"/>
                <w:szCs w:val="20"/>
                <w:lang w:val="pt-BR"/>
              </w:rPr>
            </w:pPr>
            <w:r w:rsidRPr="001B4EA4">
              <w:rPr>
                <w:rFonts w:ascii="Verdana" w:hAnsi="Verdana"/>
                <w:sz w:val="20"/>
                <w:szCs w:val="20"/>
                <w:lang w:val="pt-BR"/>
              </w:rPr>
              <w:t>Lei nº 9.491/1997</w:t>
            </w:r>
          </w:p>
        </w:tc>
      </w:tr>
      <w:tr w:rsidR="00713BDE" w:rsidRPr="006F538F" w14:paraId="272EBE6D" w14:textId="77777777" w:rsidTr="001B4EA4">
        <w:trPr>
          <w:trHeight w:val="1682"/>
        </w:trPr>
        <w:tc>
          <w:tcPr>
            <w:tcW w:w="2831" w:type="dxa"/>
            <w:shd w:val="clear" w:color="auto" w:fill="FFE599" w:themeFill="accent4" w:themeFillTint="66"/>
            <w:vAlign w:val="center"/>
          </w:tcPr>
          <w:p w14:paraId="32615C00" w14:textId="77777777" w:rsidR="00713BDE" w:rsidRPr="001B4EA4" w:rsidRDefault="00713BDE" w:rsidP="00157AE3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pt-BR"/>
              </w:rPr>
            </w:pPr>
            <w:r w:rsidRPr="001B4EA4">
              <w:rPr>
                <w:rFonts w:ascii="Verdana" w:hAnsi="Verdana"/>
                <w:sz w:val="20"/>
                <w:szCs w:val="20"/>
                <w:lang w:val="pt-BR"/>
              </w:rPr>
              <w:t>Art. 2º, § 1º, a</w:t>
            </w:r>
          </w:p>
          <w:p w14:paraId="1BA39835" w14:textId="5C134490" w:rsidR="00713BDE" w:rsidRPr="001B4EA4" w:rsidRDefault="00713BDE" w:rsidP="00157AE3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pt-BR"/>
              </w:rPr>
            </w:pPr>
            <w:r w:rsidRPr="001B4EA4">
              <w:rPr>
                <w:rFonts w:ascii="Verdana" w:hAnsi="Verdana"/>
                <w:sz w:val="20"/>
                <w:szCs w:val="20"/>
                <w:lang w:val="pt-BR"/>
              </w:rPr>
              <w:t>Venda de ações de empresas estatais e/ou seus ativos ao setor privado</w:t>
            </w:r>
          </w:p>
        </w:tc>
        <w:tc>
          <w:tcPr>
            <w:tcW w:w="2831" w:type="dxa"/>
            <w:vAlign w:val="center"/>
          </w:tcPr>
          <w:p w14:paraId="1311BF68" w14:textId="77777777" w:rsidR="00713BDE" w:rsidRPr="001B4EA4" w:rsidRDefault="00713BDE" w:rsidP="00157AE3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pt-BR"/>
              </w:rPr>
            </w:pPr>
            <w:r w:rsidRPr="001B4EA4">
              <w:rPr>
                <w:rFonts w:ascii="Verdana" w:hAnsi="Verdana"/>
                <w:sz w:val="20"/>
                <w:szCs w:val="20"/>
                <w:lang w:val="pt-BR"/>
              </w:rPr>
              <w:t>Art. 2º, § 1º, b</w:t>
            </w:r>
          </w:p>
          <w:p w14:paraId="6E12ED5C" w14:textId="09BE5523" w:rsidR="00713BDE" w:rsidRPr="001B4EA4" w:rsidRDefault="00713BDE" w:rsidP="00157AE3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pt-BR"/>
              </w:rPr>
            </w:pPr>
            <w:r w:rsidRPr="001B4EA4">
              <w:rPr>
                <w:rFonts w:ascii="Verdana" w:hAnsi="Verdana"/>
                <w:sz w:val="20"/>
                <w:szCs w:val="20"/>
                <w:lang w:val="pt-BR"/>
              </w:rPr>
              <w:t>Concessões, permissões ou autorizações de serviços públicos ao setor privado</w:t>
            </w:r>
          </w:p>
        </w:tc>
        <w:tc>
          <w:tcPr>
            <w:tcW w:w="2832" w:type="dxa"/>
            <w:vAlign w:val="center"/>
          </w:tcPr>
          <w:p w14:paraId="288F5DC6" w14:textId="77777777" w:rsidR="00713BDE" w:rsidRPr="001B4EA4" w:rsidRDefault="00713BDE" w:rsidP="00157AE3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pt-BR"/>
              </w:rPr>
            </w:pPr>
            <w:r w:rsidRPr="001B4EA4">
              <w:rPr>
                <w:rFonts w:ascii="Verdana" w:hAnsi="Verdana"/>
                <w:sz w:val="20"/>
                <w:szCs w:val="20"/>
                <w:lang w:val="pt-BR"/>
              </w:rPr>
              <w:t>Art. 2º, § 1º, c</w:t>
            </w:r>
          </w:p>
          <w:p w14:paraId="6728E6E5" w14:textId="4DE29D6E" w:rsidR="00713BDE" w:rsidRPr="001B4EA4" w:rsidRDefault="00713BDE" w:rsidP="00157AE3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pt-BR"/>
              </w:rPr>
            </w:pPr>
            <w:r w:rsidRPr="001B4EA4">
              <w:rPr>
                <w:rFonts w:ascii="Verdana" w:hAnsi="Verdana"/>
                <w:sz w:val="20"/>
                <w:szCs w:val="20"/>
                <w:lang w:val="pt-BR"/>
              </w:rPr>
              <w:t>Transferência ou outorga de direitos sobre bens móveis e imóveis estatais ao setor privado</w:t>
            </w:r>
          </w:p>
        </w:tc>
      </w:tr>
      <w:tr w:rsidR="00FB4CB7" w:rsidRPr="006F538F" w14:paraId="7246B1A5" w14:textId="77777777" w:rsidTr="001B4EA4">
        <w:trPr>
          <w:trHeight w:val="700"/>
        </w:trPr>
        <w:tc>
          <w:tcPr>
            <w:tcW w:w="8494" w:type="dxa"/>
            <w:gridSpan w:val="3"/>
            <w:shd w:val="clear" w:color="auto" w:fill="000000" w:themeFill="text1"/>
            <w:vAlign w:val="center"/>
          </w:tcPr>
          <w:p w14:paraId="1EF020E5" w14:textId="36C854E4" w:rsidR="00FB4CB7" w:rsidRPr="001B4EA4" w:rsidRDefault="00FB4CB7" w:rsidP="001B4EA4">
            <w:pPr>
              <w:spacing w:line="276" w:lineRule="auto"/>
              <w:rPr>
                <w:rFonts w:ascii="Verdana" w:hAnsi="Verdana"/>
                <w:sz w:val="20"/>
                <w:szCs w:val="20"/>
                <w:lang w:val="pt-BR"/>
              </w:rPr>
            </w:pPr>
            <w:r w:rsidRPr="001B4EA4">
              <w:rPr>
                <w:rFonts w:ascii="Verdana" w:hAnsi="Verdana"/>
                <w:sz w:val="20"/>
                <w:szCs w:val="20"/>
                <w:lang w:val="pt-BR"/>
              </w:rPr>
              <w:t xml:space="preserve">Significado de </w:t>
            </w:r>
            <w:r w:rsidR="00CA70ED" w:rsidRPr="001B4EA4">
              <w:rPr>
                <w:rFonts w:ascii="Verdana" w:hAnsi="Verdana"/>
                <w:sz w:val="20"/>
                <w:szCs w:val="20"/>
                <w:lang w:val="pt-BR"/>
              </w:rPr>
              <w:t>“</w:t>
            </w:r>
            <w:r w:rsidRPr="001B4EA4">
              <w:rPr>
                <w:rFonts w:ascii="Verdana" w:hAnsi="Verdana"/>
                <w:sz w:val="20"/>
                <w:szCs w:val="20"/>
                <w:lang w:val="pt-BR"/>
              </w:rPr>
              <w:t>desestatização</w:t>
            </w:r>
            <w:r w:rsidR="00CA70ED" w:rsidRPr="001B4EA4">
              <w:rPr>
                <w:rFonts w:ascii="Verdana" w:hAnsi="Verdana"/>
                <w:sz w:val="20"/>
                <w:szCs w:val="20"/>
                <w:lang w:val="pt-BR"/>
              </w:rPr>
              <w:t>”</w:t>
            </w:r>
            <w:r w:rsidRPr="001B4EA4">
              <w:rPr>
                <w:rFonts w:ascii="Verdana" w:hAnsi="Verdana"/>
                <w:sz w:val="20"/>
                <w:szCs w:val="20"/>
                <w:lang w:val="pt-BR"/>
              </w:rPr>
              <w:t xml:space="preserve"> segundo o</w:t>
            </w:r>
          </w:p>
          <w:p w14:paraId="2B47885A" w14:textId="6271DD9A" w:rsidR="00FB4CB7" w:rsidRPr="001B4EA4" w:rsidRDefault="00FB4CB7" w:rsidP="001B4EA4">
            <w:pPr>
              <w:spacing w:line="276" w:lineRule="auto"/>
              <w:rPr>
                <w:rFonts w:ascii="Verdana" w:hAnsi="Verdana"/>
                <w:sz w:val="20"/>
                <w:szCs w:val="20"/>
                <w:lang w:val="pt-BR"/>
              </w:rPr>
            </w:pPr>
            <w:r w:rsidRPr="001B4EA4">
              <w:rPr>
                <w:rFonts w:ascii="Verdana" w:hAnsi="Verdana"/>
                <w:sz w:val="20"/>
                <w:szCs w:val="20"/>
                <w:lang w:val="pt-BR"/>
              </w:rPr>
              <w:t>Decreto nº 9.5</w:t>
            </w:r>
            <w:r w:rsidR="00E95EF2" w:rsidRPr="001B4EA4">
              <w:rPr>
                <w:rFonts w:ascii="Verdana" w:hAnsi="Verdana"/>
                <w:sz w:val="20"/>
                <w:szCs w:val="20"/>
                <w:lang w:val="pt-BR"/>
              </w:rPr>
              <w:t>8</w:t>
            </w:r>
            <w:r w:rsidRPr="001B4EA4">
              <w:rPr>
                <w:rFonts w:ascii="Verdana" w:hAnsi="Verdana"/>
                <w:sz w:val="20"/>
                <w:szCs w:val="20"/>
                <w:lang w:val="pt-BR"/>
              </w:rPr>
              <w:t>9/2018</w:t>
            </w:r>
          </w:p>
        </w:tc>
      </w:tr>
      <w:tr w:rsidR="002D58A8" w:rsidRPr="006F538F" w14:paraId="6E2EFEAC" w14:textId="77777777" w:rsidTr="001B4EA4">
        <w:tc>
          <w:tcPr>
            <w:tcW w:w="8494" w:type="dxa"/>
            <w:gridSpan w:val="3"/>
            <w:vAlign w:val="center"/>
          </w:tcPr>
          <w:p w14:paraId="51795647" w14:textId="4E2EDAD3" w:rsidR="00825BC9" w:rsidRPr="001B4EA4" w:rsidRDefault="00825BC9" w:rsidP="001B4EA4">
            <w:pPr>
              <w:spacing w:before="100" w:line="276" w:lineRule="auto"/>
              <w:rPr>
                <w:rFonts w:ascii="Verdana" w:hAnsi="Verdana"/>
                <w:sz w:val="20"/>
                <w:szCs w:val="20"/>
                <w:lang w:val="pt-BR"/>
              </w:rPr>
            </w:pPr>
            <w:r w:rsidRPr="001B4EA4">
              <w:rPr>
                <w:rFonts w:ascii="Verdana" w:hAnsi="Verdana"/>
                <w:sz w:val="20"/>
                <w:szCs w:val="20"/>
                <w:lang w:val="pt-BR"/>
              </w:rPr>
              <w:t>Art. 1º</w:t>
            </w:r>
          </w:p>
          <w:p w14:paraId="02861DB9" w14:textId="04D0988F" w:rsidR="002D58A8" w:rsidRPr="001B4EA4" w:rsidRDefault="002D58A8" w:rsidP="001B4EA4">
            <w:pPr>
              <w:spacing w:after="100" w:line="276" w:lineRule="auto"/>
              <w:rPr>
                <w:rFonts w:ascii="Verdana" w:hAnsi="Verdana"/>
                <w:sz w:val="20"/>
                <w:szCs w:val="20"/>
                <w:lang w:val="pt-BR"/>
              </w:rPr>
            </w:pPr>
            <w:r w:rsidRPr="001B4EA4">
              <w:rPr>
                <w:rFonts w:ascii="Verdana" w:hAnsi="Verdana"/>
                <w:sz w:val="20"/>
                <w:szCs w:val="20"/>
                <w:lang w:val="pt-BR"/>
              </w:rPr>
              <w:t>Dissolução, liquidação e extinção de empresas estatais</w:t>
            </w:r>
          </w:p>
        </w:tc>
      </w:tr>
      <w:tr w:rsidR="002D58A8" w:rsidRPr="006F538F" w14:paraId="38DB1BDC" w14:textId="77777777" w:rsidTr="001B4EA4">
        <w:trPr>
          <w:trHeight w:val="492"/>
        </w:trPr>
        <w:tc>
          <w:tcPr>
            <w:tcW w:w="8494" w:type="dxa"/>
            <w:gridSpan w:val="3"/>
            <w:shd w:val="clear" w:color="auto" w:fill="000000" w:themeFill="text1"/>
            <w:vAlign w:val="center"/>
          </w:tcPr>
          <w:p w14:paraId="1614D925" w14:textId="136B0958" w:rsidR="002D58A8" w:rsidRPr="001B4EA4" w:rsidRDefault="002D58A8" w:rsidP="001B4EA4">
            <w:pPr>
              <w:spacing w:line="276" w:lineRule="auto"/>
              <w:rPr>
                <w:rFonts w:ascii="Verdana" w:hAnsi="Verdana"/>
                <w:sz w:val="20"/>
                <w:szCs w:val="20"/>
                <w:lang w:val="pt-BR"/>
              </w:rPr>
            </w:pPr>
            <w:r w:rsidRPr="001B4EA4">
              <w:rPr>
                <w:rFonts w:ascii="Verdana" w:hAnsi="Verdana"/>
                <w:sz w:val="20"/>
                <w:szCs w:val="20"/>
                <w:lang w:val="pt-BR"/>
              </w:rPr>
              <w:t xml:space="preserve">Significado de </w:t>
            </w:r>
            <w:r w:rsidR="00CA70ED" w:rsidRPr="001B4EA4">
              <w:rPr>
                <w:rFonts w:ascii="Verdana" w:hAnsi="Verdana"/>
                <w:sz w:val="20"/>
                <w:szCs w:val="20"/>
                <w:lang w:val="pt-BR"/>
              </w:rPr>
              <w:t>“</w:t>
            </w:r>
            <w:r w:rsidRPr="001B4EA4">
              <w:rPr>
                <w:rFonts w:ascii="Verdana" w:hAnsi="Verdana"/>
                <w:sz w:val="20"/>
                <w:szCs w:val="20"/>
                <w:lang w:val="pt-BR"/>
              </w:rPr>
              <w:t>desinvestimento</w:t>
            </w:r>
            <w:r w:rsidR="00CA70ED" w:rsidRPr="001B4EA4">
              <w:rPr>
                <w:rFonts w:ascii="Verdana" w:hAnsi="Verdana"/>
                <w:sz w:val="20"/>
                <w:szCs w:val="20"/>
                <w:lang w:val="pt-BR"/>
              </w:rPr>
              <w:t>”</w:t>
            </w:r>
            <w:r w:rsidRPr="001B4EA4">
              <w:rPr>
                <w:rFonts w:ascii="Verdana" w:hAnsi="Verdana"/>
                <w:sz w:val="20"/>
                <w:szCs w:val="20"/>
                <w:lang w:val="pt-BR"/>
              </w:rPr>
              <w:t xml:space="preserve"> segundo o</w:t>
            </w:r>
            <w:r w:rsidR="001B4EA4">
              <w:rPr>
                <w:rFonts w:ascii="Verdana" w:hAnsi="Verdana"/>
                <w:sz w:val="20"/>
                <w:szCs w:val="20"/>
                <w:lang w:val="pt-BR"/>
              </w:rPr>
              <w:t xml:space="preserve"> </w:t>
            </w:r>
            <w:r w:rsidRPr="001B4EA4">
              <w:rPr>
                <w:rFonts w:ascii="Verdana" w:hAnsi="Verdana"/>
                <w:sz w:val="20"/>
                <w:szCs w:val="20"/>
                <w:lang w:val="pt-BR"/>
              </w:rPr>
              <w:t>Decreto nº 9.188/17</w:t>
            </w:r>
          </w:p>
        </w:tc>
      </w:tr>
      <w:tr w:rsidR="002D58A8" w:rsidRPr="006F538F" w14:paraId="0EEDB37F" w14:textId="77777777" w:rsidTr="001B4EA4">
        <w:trPr>
          <w:trHeight w:val="1620"/>
        </w:trPr>
        <w:tc>
          <w:tcPr>
            <w:tcW w:w="8494" w:type="dxa"/>
            <w:gridSpan w:val="3"/>
            <w:shd w:val="clear" w:color="auto" w:fill="auto"/>
            <w:vAlign w:val="center"/>
          </w:tcPr>
          <w:p w14:paraId="4D03F650" w14:textId="77777777" w:rsidR="002D58A8" w:rsidRPr="001B4EA4" w:rsidRDefault="002D58A8" w:rsidP="001B4EA4">
            <w:pPr>
              <w:spacing w:line="276" w:lineRule="auto"/>
              <w:rPr>
                <w:rFonts w:ascii="Verdana" w:hAnsi="Verdana"/>
                <w:sz w:val="20"/>
                <w:szCs w:val="20"/>
                <w:lang w:val="pt-BR"/>
              </w:rPr>
            </w:pPr>
            <w:r w:rsidRPr="001B4EA4">
              <w:rPr>
                <w:rFonts w:ascii="Verdana" w:hAnsi="Verdana"/>
                <w:sz w:val="20"/>
                <w:szCs w:val="20"/>
                <w:lang w:val="pt-BR"/>
              </w:rPr>
              <w:t>Art. 1º, caput, § 1º e § 4º, incisos I e II</w:t>
            </w:r>
          </w:p>
          <w:p w14:paraId="092FEEED" w14:textId="4E62D2B7" w:rsidR="002D58A8" w:rsidRPr="001B4EA4" w:rsidRDefault="002D58A8" w:rsidP="001B4EA4">
            <w:pPr>
              <w:spacing w:line="276" w:lineRule="auto"/>
              <w:rPr>
                <w:rFonts w:ascii="Verdana" w:hAnsi="Verdana"/>
                <w:sz w:val="20"/>
                <w:szCs w:val="20"/>
                <w:lang w:val="pt-BR"/>
              </w:rPr>
            </w:pPr>
            <w:r w:rsidRPr="001B4EA4">
              <w:rPr>
                <w:rFonts w:ascii="Verdana" w:hAnsi="Verdana"/>
                <w:sz w:val="20"/>
                <w:szCs w:val="20"/>
                <w:lang w:val="pt-BR"/>
              </w:rPr>
              <w:t>Transferência total ou parcial de ativos não relacionados aos objetos sociais de sociedades de economia mista, entendidos como as unidades operacionais e os estabelecimentos integrantes do seu patrimônio, os direitos e as participações, diretas ou indiretas, em outras sociedades</w:t>
            </w:r>
            <w:r w:rsidR="00CA70ED" w:rsidRPr="001B4EA4">
              <w:rPr>
                <w:rFonts w:ascii="Verdana" w:hAnsi="Verdana"/>
                <w:sz w:val="20"/>
                <w:szCs w:val="20"/>
                <w:lang w:val="pt-BR"/>
              </w:rPr>
              <w:t>.</w:t>
            </w:r>
          </w:p>
        </w:tc>
      </w:tr>
      <w:tr w:rsidR="002D58A8" w:rsidRPr="006F538F" w14:paraId="7EBE7126" w14:textId="77777777" w:rsidTr="001B3F09">
        <w:tc>
          <w:tcPr>
            <w:tcW w:w="8494" w:type="dxa"/>
            <w:gridSpan w:val="3"/>
            <w:shd w:val="clear" w:color="auto" w:fill="000000" w:themeFill="text1"/>
          </w:tcPr>
          <w:p w14:paraId="0827ED12" w14:textId="77777777" w:rsidR="002D58A8" w:rsidRPr="001B4EA4" w:rsidRDefault="002D58A8" w:rsidP="001B4EA4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pt-BR"/>
              </w:rPr>
            </w:pPr>
          </w:p>
        </w:tc>
      </w:tr>
    </w:tbl>
    <w:p w14:paraId="4549C3D0" w14:textId="77777777" w:rsidR="001B4EA4" w:rsidRDefault="001B4EA4" w:rsidP="001B4EA4">
      <w:pPr>
        <w:spacing w:before="160" w:line="276" w:lineRule="auto"/>
        <w:ind w:firstLine="709"/>
        <w:jc w:val="both"/>
        <w:rPr>
          <w:rFonts w:ascii="Verdana" w:hAnsi="Verdana"/>
          <w:sz w:val="20"/>
          <w:szCs w:val="20"/>
          <w:lang w:val="pt-BR"/>
        </w:rPr>
      </w:pPr>
    </w:p>
    <w:p w14:paraId="12BFEF33" w14:textId="3E516B85" w:rsidR="00A031ED" w:rsidRPr="001B4EA4" w:rsidRDefault="000B7B75" w:rsidP="001B4EA4">
      <w:pPr>
        <w:spacing w:before="160" w:line="276" w:lineRule="auto"/>
        <w:ind w:firstLine="709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>Não se pretende interferir na decis</w:t>
      </w:r>
      <w:r w:rsidR="001F55B9" w:rsidRPr="001B4EA4">
        <w:rPr>
          <w:rFonts w:ascii="Verdana" w:hAnsi="Verdana"/>
          <w:sz w:val="20"/>
          <w:szCs w:val="20"/>
          <w:lang w:val="pt-BR"/>
        </w:rPr>
        <w:t>ão</w:t>
      </w:r>
      <w:r w:rsidRPr="001B4EA4">
        <w:rPr>
          <w:rFonts w:ascii="Verdana" w:hAnsi="Verdana"/>
          <w:sz w:val="20"/>
          <w:szCs w:val="20"/>
          <w:lang w:val="pt-BR"/>
        </w:rPr>
        <w:t xml:space="preserve"> de privatização, </w:t>
      </w:r>
      <w:r w:rsidR="00C554DF" w:rsidRPr="001B4EA4">
        <w:rPr>
          <w:rFonts w:ascii="Verdana" w:hAnsi="Verdana"/>
          <w:sz w:val="20"/>
          <w:szCs w:val="20"/>
          <w:lang w:val="pt-BR"/>
        </w:rPr>
        <w:t xml:space="preserve">que pode ser </w:t>
      </w:r>
      <w:r w:rsidR="001F55B9" w:rsidRPr="001B4EA4">
        <w:rPr>
          <w:rFonts w:ascii="Verdana" w:hAnsi="Verdana"/>
          <w:sz w:val="20"/>
          <w:szCs w:val="20"/>
          <w:lang w:val="pt-BR"/>
        </w:rPr>
        <w:t>motivada</w:t>
      </w:r>
      <w:r w:rsidRPr="001B4EA4">
        <w:rPr>
          <w:rFonts w:ascii="Verdana" w:hAnsi="Verdana"/>
          <w:sz w:val="20"/>
          <w:szCs w:val="20"/>
          <w:lang w:val="pt-BR"/>
        </w:rPr>
        <w:t xml:space="preserve"> por questões políticas, técnicas, econômicas e sociais das mais </w:t>
      </w:r>
      <w:r w:rsidR="00CA70ED" w:rsidRPr="001B4EA4">
        <w:rPr>
          <w:rFonts w:ascii="Verdana" w:hAnsi="Verdana"/>
          <w:sz w:val="20"/>
          <w:szCs w:val="20"/>
          <w:lang w:val="pt-BR"/>
        </w:rPr>
        <w:t xml:space="preserve">variadas e complexas; tampouco o objetivo deste documento é </w:t>
      </w:r>
      <w:r w:rsidR="007B209E" w:rsidRPr="001B4EA4">
        <w:rPr>
          <w:rFonts w:ascii="Verdana" w:hAnsi="Verdana"/>
          <w:sz w:val="20"/>
          <w:szCs w:val="20"/>
          <w:lang w:val="pt-BR"/>
        </w:rPr>
        <w:t>indicar quais</w:t>
      </w:r>
      <w:r w:rsidR="00F5525E" w:rsidRPr="001B4EA4">
        <w:rPr>
          <w:rFonts w:ascii="Verdana" w:hAnsi="Verdana"/>
          <w:sz w:val="20"/>
          <w:szCs w:val="20"/>
          <w:lang w:val="pt-BR"/>
        </w:rPr>
        <w:t xml:space="preserve"> atividades estariam </w:t>
      </w:r>
      <w:r w:rsidR="007B209E" w:rsidRPr="001B4EA4">
        <w:rPr>
          <w:rFonts w:ascii="Verdana" w:hAnsi="Verdana"/>
          <w:sz w:val="20"/>
          <w:szCs w:val="20"/>
          <w:lang w:val="pt-BR"/>
        </w:rPr>
        <w:t>mais bem</w:t>
      </w:r>
      <w:r w:rsidR="00F5525E" w:rsidRPr="001B4EA4">
        <w:rPr>
          <w:rFonts w:ascii="Verdana" w:hAnsi="Verdana"/>
          <w:sz w:val="20"/>
          <w:szCs w:val="20"/>
          <w:lang w:val="pt-BR"/>
        </w:rPr>
        <w:t xml:space="preserve"> inseridas no setor privado</w:t>
      </w:r>
      <w:r w:rsidRPr="001B4EA4">
        <w:rPr>
          <w:rFonts w:ascii="Verdana" w:hAnsi="Verdana"/>
          <w:sz w:val="20"/>
          <w:szCs w:val="20"/>
          <w:lang w:val="pt-BR"/>
        </w:rPr>
        <w:t>. Em</w:t>
      </w:r>
      <w:r w:rsidR="000A7034" w:rsidRPr="001B4EA4">
        <w:rPr>
          <w:rFonts w:ascii="Verdana" w:hAnsi="Verdana"/>
          <w:sz w:val="20"/>
          <w:szCs w:val="20"/>
          <w:lang w:val="pt-BR"/>
        </w:rPr>
        <w:t xml:space="preserve"> outro sentido, </w:t>
      </w:r>
      <w:r w:rsidR="001F55B9" w:rsidRPr="001B4EA4">
        <w:rPr>
          <w:rFonts w:ascii="Verdana" w:hAnsi="Verdana"/>
          <w:sz w:val="20"/>
          <w:szCs w:val="20"/>
          <w:lang w:val="pt-BR"/>
        </w:rPr>
        <w:t xml:space="preserve">e </w:t>
      </w:r>
      <w:r w:rsidR="000A7034" w:rsidRPr="001B4EA4">
        <w:rPr>
          <w:rFonts w:ascii="Verdana" w:hAnsi="Verdana"/>
          <w:sz w:val="20"/>
          <w:szCs w:val="20"/>
          <w:lang w:val="pt-BR"/>
        </w:rPr>
        <w:t>em</w:t>
      </w:r>
      <w:r w:rsidRPr="001B4EA4">
        <w:rPr>
          <w:rFonts w:ascii="Verdana" w:hAnsi="Verdana"/>
          <w:sz w:val="20"/>
          <w:szCs w:val="20"/>
          <w:lang w:val="pt-BR"/>
        </w:rPr>
        <w:t xml:space="preserve"> interlocução com as diretrizes publicadas pela </w:t>
      </w:r>
      <w:r w:rsidR="00A031ED" w:rsidRPr="001B4EA4">
        <w:rPr>
          <w:rFonts w:ascii="Verdana" w:hAnsi="Verdana"/>
          <w:sz w:val="20"/>
          <w:szCs w:val="20"/>
          <w:lang w:val="pt-BR"/>
        </w:rPr>
        <w:t>Organização para a Cooperação e Desenvolvimento Econômico (OCDE)</w:t>
      </w:r>
      <w:r w:rsidRPr="001B4EA4">
        <w:rPr>
          <w:rFonts w:ascii="Verdana" w:hAnsi="Verdana"/>
          <w:sz w:val="20"/>
          <w:szCs w:val="20"/>
          <w:lang w:val="pt-BR"/>
        </w:rPr>
        <w:t xml:space="preserve"> para processos de privatização</w:t>
      </w:r>
      <w:r w:rsidRPr="001B4EA4">
        <w:rPr>
          <w:rStyle w:val="Refdenotaderodap"/>
          <w:rFonts w:ascii="Verdana" w:hAnsi="Verdana"/>
          <w:sz w:val="20"/>
          <w:szCs w:val="20"/>
          <w:lang w:val="pt-BR"/>
        </w:rPr>
        <w:footnoteReference w:id="3"/>
      </w:r>
      <w:r w:rsidRPr="001B4EA4">
        <w:rPr>
          <w:rFonts w:ascii="Verdana" w:hAnsi="Verdana"/>
          <w:sz w:val="20"/>
          <w:szCs w:val="20"/>
          <w:lang w:val="pt-BR"/>
        </w:rPr>
        <w:t xml:space="preserve">, </w:t>
      </w:r>
      <w:r w:rsidR="000A7034" w:rsidRPr="001B4EA4">
        <w:rPr>
          <w:rFonts w:ascii="Verdana" w:hAnsi="Verdana"/>
          <w:sz w:val="20"/>
          <w:szCs w:val="20"/>
          <w:lang w:val="pt-BR"/>
        </w:rPr>
        <w:t xml:space="preserve">propõe-se o enfrentamento de questões essenciais ao longo de todo o processo, como forma de maximização de sua </w:t>
      </w:r>
      <w:r w:rsidR="00CA70ED" w:rsidRPr="001B4EA4">
        <w:rPr>
          <w:rFonts w:ascii="Verdana" w:hAnsi="Verdana"/>
          <w:sz w:val="20"/>
          <w:szCs w:val="20"/>
          <w:lang w:val="pt-BR"/>
        </w:rPr>
        <w:t>e</w:t>
      </w:r>
      <w:r w:rsidR="001E5A4F" w:rsidRPr="001B4EA4">
        <w:rPr>
          <w:rFonts w:ascii="Verdana" w:hAnsi="Verdana"/>
          <w:sz w:val="20"/>
          <w:szCs w:val="20"/>
          <w:lang w:val="pt-BR"/>
        </w:rPr>
        <w:t>fetividade econômica</w:t>
      </w:r>
      <w:r w:rsidR="00CA70ED" w:rsidRPr="001B4EA4">
        <w:rPr>
          <w:rFonts w:ascii="Verdana" w:hAnsi="Verdana"/>
          <w:sz w:val="20"/>
          <w:szCs w:val="20"/>
          <w:lang w:val="pt-BR"/>
        </w:rPr>
        <w:t xml:space="preserve"> e de garantia d</w:t>
      </w:r>
      <w:r w:rsidR="000A7034" w:rsidRPr="001B4EA4">
        <w:rPr>
          <w:rFonts w:ascii="Verdana" w:hAnsi="Verdana"/>
          <w:sz w:val="20"/>
          <w:szCs w:val="20"/>
          <w:lang w:val="pt-BR"/>
        </w:rPr>
        <w:t>o atendimento das melhores práticas</w:t>
      </w:r>
      <w:r w:rsidR="001F55B9" w:rsidRPr="001B4EA4">
        <w:rPr>
          <w:rFonts w:ascii="Verdana" w:hAnsi="Verdana"/>
          <w:sz w:val="20"/>
          <w:szCs w:val="20"/>
          <w:lang w:val="pt-BR"/>
        </w:rPr>
        <w:t xml:space="preserve"> para </w:t>
      </w:r>
      <w:r w:rsidR="00C554DF" w:rsidRPr="001B4EA4">
        <w:rPr>
          <w:rFonts w:ascii="Verdana" w:hAnsi="Verdana"/>
          <w:sz w:val="20"/>
          <w:szCs w:val="20"/>
          <w:lang w:val="pt-BR"/>
        </w:rPr>
        <w:t>ampar</w:t>
      </w:r>
      <w:r w:rsidR="00CA70ED" w:rsidRPr="001B4EA4">
        <w:rPr>
          <w:rFonts w:ascii="Verdana" w:hAnsi="Verdana"/>
          <w:sz w:val="20"/>
          <w:szCs w:val="20"/>
          <w:lang w:val="pt-BR"/>
        </w:rPr>
        <w:t>o</w:t>
      </w:r>
      <w:r w:rsidR="00C554DF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="00CA70ED" w:rsidRPr="001B4EA4">
        <w:rPr>
          <w:rFonts w:ascii="Verdana" w:hAnsi="Verdana"/>
          <w:sz w:val="20"/>
          <w:szCs w:val="20"/>
          <w:lang w:val="pt-BR"/>
        </w:rPr>
        <w:t>d</w:t>
      </w:r>
      <w:r w:rsidR="001F55B9" w:rsidRPr="001B4EA4">
        <w:rPr>
          <w:rFonts w:ascii="Verdana" w:hAnsi="Verdana"/>
          <w:sz w:val="20"/>
          <w:szCs w:val="20"/>
          <w:lang w:val="pt-BR"/>
        </w:rPr>
        <w:t>o interesse público</w:t>
      </w:r>
      <w:r w:rsidR="000A7034" w:rsidRPr="001B4EA4">
        <w:rPr>
          <w:rFonts w:ascii="Verdana" w:hAnsi="Verdana"/>
          <w:sz w:val="20"/>
          <w:szCs w:val="20"/>
          <w:lang w:val="pt-BR"/>
        </w:rPr>
        <w:t xml:space="preserve">. </w:t>
      </w:r>
    </w:p>
    <w:p w14:paraId="290DB9CF" w14:textId="5D0CE0DC" w:rsidR="001E5A4F" w:rsidRPr="001B4EA4" w:rsidRDefault="001E5A4F" w:rsidP="001B4EA4">
      <w:pPr>
        <w:spacing w:line="276" w:lineRule="auto"/>
        <w:ind w:firstLine="708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 xml:space="preserve">Isso porque a aferição da viabilidade e </w:t>
      </w:r>
      <w:r w:rsidR="00CA70ED" w:rsidRPr="001B4EA4">
        <w:rPr>
          <w:rFonts w:ascii="Verdana" w:hAnsi="Verdana"/>
          <w:sz w:val="20"/>
          <w:szCs w:val="20"/>
          <w:lang w:val="pt-BR"/>
        </w:rPr>
        <w:t xml:space="preserve">da </w:t>
      </w:r>
      <w:r w:rsidRPr="001B4EA4">
        <w:rPr>
          <w:rFonts w:ascii="Verdana" w:hAnsi="Verdana"/>
          <w:sz w:val="20"/>
          <w:szCs w:val="20"/>
          <w:lang w:val="pt-BR"/>
        </w:rPr>
        <w:t>eficiência da transferência de determinadas atividades estratégicas</w:t>
      </w:r>
      <w:r w:rsidR="00CA70ED" w:rsidRPr="001B4EA4">
        <w:rPr>
          <w:rFonts w:ascii="Verdana" w:hAnsi="Verdana"/>
          <w:sz w:val="20"/>
          <w:szCs w:val="20"/>
          <w:lang w:val="pt-BR"/>
        </w:rPr>
        <w:t xml:space="preserve"> —</w:t>
      </w:r>
      <w:r w:rsidRPr="001B4EA4">
        <w:rPr>
          <w:rFonts w:ascii="Verdana" w:hAnsi="Verdana"/>
          <w:sz w:val="20"/>
          <w:szCs w:val="20"/>
          <w:lang w:val="pt-BR"/>
        </w:rPr>
        <w:t xml:space="preserve"> como frequentemente é o caso das empresas estatais</w:t>
      </w:r>
      <w:r w:rsidR="00CA70ED" w:rsidRPr="001B4EA4">
        <w:rPr>
          <w:rFonts w:ascii="Verdana" w:hAnsi="Verdana"/>
          <w:sz w:val="20"/>
          <w:szCs w:val="20"/>
          <w:lang w:val="pt-BR"/>
        </w:rPr>
        <w:t xml:space="preserve"> — </w:t>
      </w:r>
      <w:r w:rsidRPr="001B4EA4">
        <w:rPr>
          <w:rFonts w:ascii="Verdana" w:hAnsi="Verdana"/>
          <w:sz w:val="20"/>
          <w:szCs w:val="20"/>
          <w:lang w:val="pt-BR"/>
        </w:rPr>
        <w:t>ao setor privado é marcada por diversos desafios de gov</w:t>
      </w:r>
      <w:r w:rsidR="00233185" w:rsidRPr="001B4EA4">
        <w:rPr>
          <w:rFonts w:ascii="Verdana" w:hAnsi="Verdana"/>
          <w:sz w:val="20"/>
          <w:szCs w:val="20"/>
          <w:lang w:val="pt-BR"/>
        </w:rPr>
        <w:t>ernança,</w:t>
      </w:r>
      <w:r w:rsidRPr="001B4EA4">
        <w:rPr>
          <w:rFonts w:ascii="Verdana" w:hAnsi="Verdana"/>
          <w:sz w:val="20"/>
          <w:szCs w:val="20"/>
          <w:lang w:val="pt-BR"/>
        </w:rPr>
        <w:t xml:space="preserve"> como possíveis interferências externas, falta de transparência, fiscalização e responsabilização nas operações corporativas. </w:t>
      </w:r>
      <w:r w:rsidR="000763AA" w:rsidRPr="001B4EA4">
        <w:rPr>
          <w:rFonts w:ascii="Verdana" w:hAnsi="Verdana"/>
          <w:sz w:val="20"/>
          <w:szCs w:val="20"/>
          <w:lang w:val="pt-BR"/>
        </w:rPr>
        <w:t xml:space="preserve">As práticas propostas buscam </w:t>
      </w:r>
      <w:r w:rsidR="00233185" w:rsidRPr="001B4EA4">
        <w:rPr>
          <w:rFonts w:ascii="Verdana" w:hAnsi="Verdana"/>
          <w:sz w:val="20"/>
          <w:szCs w:val="20"/>
          <w:lang w:val="pt-BR"/>
        </w:rPr>
        <w:t>o equacionamento d</w:t>
      </w:r>
      <w:r w:rsidRPr="001B4EA4">
        <w:rPr>
          <w:rFonts w:ascii="Verdana" w:hAnsi="Verdana"/>
          <w:sz w:val="20"/>
          <w:szCs w:val="20"/>
          <w:lang w:val="pt-BR"/>
        </w:rPr>
        <w:t>es</w:t>
      </w:r>
      <w:r w:rsidR="00233185" w:rsidRPr="001B4EA4">
        <w:rPr>
          <w:rFonts w:ascii="Verdana" w:hAnsi="Verdana"/>
          <w:sz w:val="20"/>
          <w:szCs w:val="20"/>
          <w:lang w:val="pt-BR"/>
        </w:rPr>
        <w:t>s</w:t>
      </w:r>
      <w:r w:rsidRPr="001B4EA4">
        <w:rPr>
          <w:rFonts w:ascii="Verdana" w:hAnsi="Verdana"/>
          <w:sz w:val="20"/>
          <w:szCs w:val="20"/>
          <w:lang w:val="pt-BR"/>
        </w:rPr>
        <w:t>e</w:t>
      </w:r>
      <w:r w:rsidR="00233185" w:rsidRPr="001B4EA4">
        <w:rPr>
          <w:rFonts w:ascii="Verdana" w:hAnsi="Verdana"/>
          <w:sz w:val="20"/>
          <w:szCs w:val="20"/>
          <w:lang w:val="pt-BR"/>
        </w:rPr>
        <w:t xml:space="preserve">s desafios com </w:t>
      </w:r>
      <w:r w:rsidR="000763AA" w:rsidRPr="001B4EA4">
        <w:rPr>
          <w:rFonts w:ascii="Verdana" w:hAnsi="Verdana"/>
          <w:sz w:val="20"/>
          <w:szCs w:val="20"/>
          <w:lang w:val="pt-BR"/>
        </w:rPr>
        <w:t>eficiente</w:t>
      </w:r>
      <w:r w:rsidRPr="001B4EA4">
        <w:rPr>
          <w:rFonts w:ascii="Verdana" w:hAnsi="Verdana"/>
          <w:sz w:val="20"/>
          <w:szCs w:val="20"/>
          <w:lang w:val="pt-BR"/>
        </w:rPr>
        <w:t xml:space="preserve"> desempenho de atividade econômica e persecução de objetivos sociais.</w:t>
      </w:r>
    </w:p>
    <w:p w14:paraId="3C9E6861" w14:textId="5A72BF13" w:rsidR="002A572E" w:rsidRPr="001B4EA4" w:rsidRDefault="00233185" w:rsidP="001B4EA4">
      <w:pPr>
        <w:spacing w:line="276" w:lineRule="auto"/>
        <w:ind w:firstLine="708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>A</w:t>
      </w:r>
      <w:r w:rsidR="00EA4B3E" w:rsidRPr="001B4EA4">
        <w:rPr>
          <w:rFonts w:ascii="Verdana" w:hAnsi="Verdana"/>
          <w:sz w:val="20"/>
          <w:szCs w:val="20"/>
          <w:lang w:val="pt-BR"/>
        </w:rPr>
        <w:t xml:space="preserve"> análise de experiências e dificuldades históri</w:t>
      </w:r>
      <w:r w:rsidR="00DD3481" w:rsidRPr="001B4EA4">
        <w:rPr>
          <w:rFonts w:ascii="Verdana" w:hAnsi="Verdana"/>
          <w:sz w:val="20"/>
          <w:szCs w:val="20"/>
          <w:lang w:val="pt-BR"/>
        </w:rPr>
        <w:t>c</w:t>
      </w:r>
      <w:r w:rsidR="00EA4B3E" w:rsidRPr="001B4EA4">
        <w:rPr>
          <w:rFonts w:ascii="Verdana" w:hAnsi="Verdana"/>
          <w:sz w:val="20"/>
          <w:szCs w:val="20"/>
          <w:lang w:val="pt-BR"/>
        </w:rPr>
        <w:t>as</w:t>
      </w:r>
      <w:r w:rsidR="00175E2B" w:rsidRPr="001B4EA4">
        <w:rPr>
          <w:rFonts w:ascii="Verdana" w:hAnsi="Verdana"/>
          <w:sz w:val="20"/>
          <w:szCs w:val="20"/>
          <w:lang w:val="pt-BR"/>
        </w:rPr>
        <w:t xml:space="preserve"> no contexto brasileiro</w:t>
      </w:r>
      <w:r w:rsidRPr="001B4EA4">
        <w:rPr>
          <w:rFonts w:ascii="Verdana" w:hAnsi="Verdana"/>
          <w:sz w:val="20"/>
          <w:szCs w:val="20"/>
          <w:lang w:val="pt-BR"/>
        </w:rPr>
        <w:t xml:space="preserve"> permite que se destaquem </w:t>
      </w:r>
      <w:r w:rsidR="003E3E44" w:rsidRPr="001B4EA4">
        <w:rPr>
          <w:rFonts w:ascii="Verdana" w:hAnsi="Verdana"/>
          <w:sz w:val="20"/>
          <w:szCs w:val="20"/>
          <w:lang w:val="pt-BR"/>
        </w:rPr>
        <w:t xml:space="preserve">alguns </w:t>
      </w:r>
      <w:r w:rsidR="00EA4B3E" w:rsidRPr="001B4EA4">
        <w:rPr>
          <w:rFonts w:ascii="Verdana" w:hAnsi="Verdana"/>
          <w:sz w:val="20"/>
          <w:szCs w:val="20"/>
          <w:lang w:val="pt-BR"/>
        </w:rPr>
        <w:t>pontos cruciais</w:t>
      </w:r>
      <w:r w:rsidR="00256A27" w:rsidRPr="001B4EA4">
        <w:rPr>
          <w:rFonts w:ascii="Verdana" w:hAnsi="Verdana"/>
          <w:sz w:val="20"/>
          <w:szCs w:val="20"/>
          <w:lang w:val="pt-BR"/>
        </w:rPr>
        <w:t xml:space="preserve"> no processo de privatização. </w:t>
      </w:r>
      <w:r w:rsidR="00707EF8" w:rsidRPr="001B4EA4">
        <w:rPr>
          <w:rFonts w:ascii="Verdana" w:hAnsi="Verdana"/>
          <w:sz w:val="20"/>
          <w:szCs w:val="20"/>
          <w:lang w:val="pt-BR"/>
        </w:rPr>
        <w:t>Enquanto a</w:t>
      </w:r>
      <w:r w:rsidR="00EA4B3E" w:rsidRPr="001B4EA4">
        <w:rPr>
          <w:rFonts w:ascii="Verdana" w:hAnsi="Verdana"/>
          <w:sz w:val="20"/>
          <w:szCs w:val="20"/>
          <w:lang w:val="pt-BR"/>
        </w:rPr>
        <w:t xml:space="preserve"> existência de diversas partes potencializa os conflitos de interesse</w:t>
      </w:r>
      <w:r w:rsidRPr="001B4EA4">
        <w:rPr>
          <w:rFonts w:ascii="Verdana" w:hAnsi="Verdana"/>
          <w:sz w:val="20"/>
          <w:szCs w:val="20"/>
          <w:lang w:val="pt-BR"/>
        </w:rPr>
        <w:t>s</w:t>
      </w:r>
      <w:r w:rsidR="00EA4B3E" w:rsidRPr="001B4EA4">
        <w:rPr>
          <w:rFonts w:ascii="Verdana" w:hAnsi="Verdana"/>
          <w:sz w:val="20"/>
          <w:szCs w:val="20"/>
          <w:lang w:val="pt-BR"/>
        </w:rPr>
        <w:t xml:space="preserve"> e abre espaço para questionamentos quanto à legitimidade das decisões, o ambiente regulatório descentralizado brasileiro impacta a segurança jurídica </w:t>
      </w:r>
      <w:r w:rsidR="00CD5E5D" w:rsidRPr="001B4EA4">
        <w:rPr>
          <w:rFonts w:ascii="Verdana" w:hAnsi="Verdana"/>
          <w:sz w:val="20"/>
          <w:szCs w:val="20"/>
          <w:lang w:val="pt-BR"/>
        </w:rPr>
        <w:t>para</w:t>
      </w:r>
      <w:r w:rsidR="00EA4B3E" w:rsidRPr="001B4EA4">
        <w:rPr>
          <w:rFonts w:ascii="Verdana" w:hAnsi="Verdana"/>
          <w:sz w:val="20"/>
          <w:szCs w:val="20"/>
          <w:lang w:val="pt-BR"/>
        </w:rPr>
        <w:t xml:space="preserve"> investidores e </w:t>
      </w:r>
      <w:r w:rsidRPr="001B4EA4">
        <w:rPr>
          <w:rFonts w:ascii="Verdana" w:hAnsi="Verdana"/>
          <w:sz w:val="20"/>
          <w:szCs w:val="20"/>
          <w:lang w:val="pt-BR"/>
        </w:rPr>
        <w:t>o</w:t>
      </w:r>
      <w:r w:rsidR="00EA4B3E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="004176F6" w:rsidRPr="001B4EA4">
        <w:rPr>
          <w:rFonts w:ascii="Verdana" w:hAnsi="Verdana"/>
          <w:sz w:val="20"/>
          <w:szCs w:val="20"/>
          <w:lang w:val="pt-BR"/>
        </w:rPr>
        <w:t xml:space="preserve">atendimento </w:t>
      </w:r>
      <w:r w:rsidR="00EA4B3E" w:rsidRPr="001B4EA4">
        <w:rPr>
          <w:rFonts w:ascii="Verdana" w:hAnsi="Verdana"/>
          <w:sz w:val="20"/>
          <w:szCs w:val="20"/>
          <w:lang w:val="pt-BR"/>
        </w:rPr>
        <w:t>d</w:t>
      </w:r>
      <w:r w:rsidRPr="001B4EA4">
        <w:rPr>
          <w:rFonts w:ascii="Verdana" w:hAnsi="Verdana"/>
          <w:sz w:val="20"/>
          <w:szCs w:val="20"/>
          <w:lang w:val="pt-BR"/>
        </w:rPr>
        <w:t>o</w:t>
      </w:r>
      <w:r w:rsidR="00EA4B3E" w:rsidRPr="001B4EA4">
        <w:rPr>
          <w:rFonts w:ascii="Verdana" w:hAnsi="Verdana"/>
          <w:sz w:val="20"/>
          <w:szCs w:val="20"/>
          <w:lang w:val="pt-BR"/>
        </w:rPr>
        <w:t xml:space="preserve"> interesse público</w:t>
      </w:r>
      <w:r w:rsidR="003E3E44" w:rsidRPr="001B4EA4">
        <w:rPr>
          <w:rFonts w:ascii="Verdana" w:hAnsi="Verdana"/>
          <w:sz w:val="20"/>
          <w:szCs w:val="20"/>
          <w:lang w:val="pt-BR"/>
        </w:rPr>
        <w:t>.</w:t>
      </w:r>
    </w:p>
    <w:p w14:paraId="17B57711" w14:textId="6759D3CC" w:rsidR="003E3E44" w:rsidRPr="001B4EA4" w:rsidRDefault="00EA4B3E" w:rsidP="001B4EA4">
      <w:pPr>
        <w:spacing w:line="276" w:lineRule="auto"/>
        <w:ind w:firstLine="708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>Por isso, faz</w:t>
      </w:r>
      <w:r w:rsidR="00233185" w:rsidRPr="001B4EA4">
        <w:rPr>
          <w:rFonts w:ascii="Verdana" w:hAnsi="Verdana"/>
          <w:sz w:val="20"/>
          <w:szCs w:val="20"/>
          <w:lang w:val="pt-BR"/>
        </w:rPr>
        <w:t>em</w:t>
      </w:r>
      <w:r w:rsidRPr="001B4EA4">
        <w:rPr>
          <w:rFonts w:ascii="Verdana" w:hAnsi="Verdana"/>
          <w:sz w:val="20"/>
          <w:szCs w:val="20"/>
          <w:lang w:val="pt-BR"/>
        </w:rPr>
        <w:t>-se essencia</w:t>
      </w:r>
      <w:r w:rsidR="00233185" w:rsidRPr="001B4EA4">
        <w:rPr>
          <w:rFonts w:ascii="Verdana" w:hAnsi="Verdana"/>
          <w:sz w:val="20"/>
          <w:szCs w:val="20"/>
          <w:lang w:val="pt-BR"/>
        </w:rPr>
        <w:t>is</w:t>
      </w:r>
      <w:r w:rsidRPr="001B4EA4">
        <w:rPr>
          <w:rFonts w:ascii="Verdana" w:hAnsi="Verdana"/>
          <w:sz w:val="20"/>
          <w:szCs w:val="20"/>
          <w:lang w:val="pt-BR"/>
        </w:rPr>
        <w:t xml:space="preserve"> a harmonização e </w:t>
      </w:r>
      <w:r w:rsidR="00233185" w:rsidRPr="001B4EA4">
        <w:rPr>
          <w:rFonts w:ascii="Verdana" w:hAnsi="Verdana"/>
          <w:sz w:val="20"/>
          <w:szCs w:val="20"/>
          <w:lang w:val="pt-BR"/>
        </w:rPr>
        <w:t xml:space="preserve">a </w:t>
      </w:r>
      <w:r w:rsidRPr="001B4EA4">
        <w:rPr>
          <w:rFonts w:ascii="Verdana" w:hAnsi="Verdana"/>
          <w:sz w:val="20"/>
          <w:szCs w:val="20"/>
          <w:lang w:val="pt-BR"/>
        </w:rPr>
        <w:t>valorização d</w:t>
      </w:r>
      <w:r w:rsidR="00233185" w:rsidRPr="001B4EA4">
        <w:rPr>
          <w:rFonts w:ascii="Verdana" w:hAnsi="Verdana"/>
          <w:sz w:val="20"/>
          <w:szCs w:val="20"/>
          <w:lang w:val="pt-BR"/>
        </w:rPr>
        <w:t>esse</w:t>
      </w:r>
      <w:r w:rsidRPr="001B4EA4">
        <w:rPr>
          <w:rFonts w:ascii="Verdana" w:hAnsi="Verdana"/>
          <w:sz w:val="20"/>
          <w:szCs w:val="20"/>
          <w:lang w:val="pt-BR"/>
        </w:rPr>
        <w:t>s atores, entre eles os investidores privados, a</w:t>
      </w:r>
      <w:r w:rsidR="00233185" w:rsidRPr="001B4EA4">
        <w:rPr>
          <w:rFonts w:ascii="Verdana" w:hAnsi="Verdana"/>
          <w:sz w:val="20"/>
          <w:szCs w:val="20"/>
          <w:lang w:val="pt-BR"/>
        </w:rPr>
        <w:t>s</w:t>
      </w:r>
      <w:r w:rsidRPr="001B4EA4">
        <w:rPr>
          <w:rFonts w:ascii="Verdana" w:hAnsi="Verdana"/>
          <w:sz w:val="20"/>
          <w:szCs w:val="20"/>
          <w:lang w:val="pt-BR"/>
        </w:rPr>
        <w:t xml:space="preserve"> agência</w:t>
      </w:r>
      <w:r w:rsidR="00233185" w:rsidRPr="001B4EA4">
        <w:rPr>
          <w:rFonts w:ascii="Verdana" w:hAnsi="Verdana"/>
          <w:sz w:val="20"/>
          <w:szCs w:val="20"/>
          <w:lang w:val="pt-BR"/>
        </w:rPr>
        <w:t>s reguladoras</w:t>
      </w:r>
      <w:r w:rsidRPr="001B4EA4">
        <w:rPr>
          <w:rFonts w:ascii="Verdana" w:hAnsi="Verdana"/>
          <w:sz w:val="20"/>
          <w:szCs w:val="20"/>
          <w:lang w:val="pt-BR"/>
        </w:rPr>
        <w:t xml:space="preserve">, o Ministério Público, os </w:t>
      </w:r>
      <w:r w:rsidR="003E3E44" w:rsidRPr="001B4EA4">
        <w:rPr>
          <w:rFonts w:ascii="Verdana" w:hAnsi="Verdana"/>
          <w:sz w:val="20"/>
          <w:szCs w:val="20"/>
          <w:lang w:val="pt-BR"/>
        </w:rPr>
        <w:t>t</w:t>
      </w:r>
      <w:r w:rsidRPr="001B4EA4">
        <w:rPr>
          <w:rFonts w:ascii="Verdana" w:hAnsi="Verdana"/>
          <w:sz w:val="20"/>
          <w:szCs w:val="20"/>
          <w:lang w:val="pt-BR"/>
        </w:rPr>
        <w:t xml:space="preserve">ribunais de </w:t>
      </w:r>
      <w:r w:rsidR="003E3E44" w:rsidRPr="001B4EA4">
        <w:rPr>
          <w:rFonts w:ascii="Verdana" w:hAnsi="Verdana"/>
          <w:sz w:val="20"/>
          <w:szCs w:val="20"/>
          <w:lang w:val="pt-BR"/>
        </w:rPr>
        <w:t>c</w:t>
      </w:r>
      <w:r w:rsidRPr="001B4EA4">
        <w:rPr>
          <w:rFonts w:ascii="Verdana" w:hAnsi="Verdana"/>
          <w:sz w:val="20"/>
          <w:szCs w:val="20"/>
          <w:lang w:val="pt-BR"/>
        </w:rPr>
        <w:t>ontas, a própria empresa a ser privatizada, a sociedade civil, o</w:t>
      </w:r>
      <w:r w:rsidR="00233185" w:rsidRPr="001B4EA4">
        <w:rPr>
          <w:rFonts w:ascii="Verdana" w:hAnsi="Verdana"/>
          <w:sz w:val="20"/>
          <w:szCs w:val="20"/>
          <w:lang w:val="pt-BR"/>
        </w:rPr>
        <w:t>s</w:t>
      </w:r>
      <w:r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="00233185" w:rsidRPr="001B4EA4">
        <w:rPr>
          <w:rFonts w:ascii="Verdana" w:hAnsi="Verdana"/>
          <w:sz w:val="20"/>
          <w:szCs w:val="20"/>
          <w:lang w:val="pt-BR"/>
        </w:rPr>
        <w:t>p</w:t>
      </w:r>
      <w:r w:rsidRPr="001B4EA4">
        <w:rPr>
          <w:rFonts w:ascii="Verdana" w:hAnsi="Verdana"/>
          <w:sz w:val="20"/>
          <w:szCs w:val="20"/>
          <w:lang w:val="pt-BR"/>
        </w:rPr>
        <w:t>oder</w:t>
      </w:r>
      <w:r w:rsidR="00233185" w:rsidRPr="001B4EA4">
        <w:rPr>
          <w:rFonts w:ascii="Verdana" w:hAnsi="Verdana"/>
          <w:sz w:val="20"/>
          <w:szCs w:val="20"/>
          <w:lang w:val="pt-BR"/>
        </w:rPr>
        <w:t>es Executivo e</w:t>
      </w:r>
      <w:r w:rsidRPr="001B4EA4">
        <w:rPr>
          <w:rFonts w:ascii="Verdana" w:hAnsi="Verdana"/>
          <w:sz w:val="20"/>
          <w:szCs w:val="20"/>
          <w:lang w:val="pt-BR"/>
        </w:rPr>
        <w:t xml:space="preserve"> Legislativo. </w:t>
      </w:r>
      <w:r w:rsidR="00280C15" w:rsidRPr="001B4EA4">
        <w:rPr>
          <w:rFonts w:ascii="Verdana" w:hAnsi="Verdana"/>
          <w:sz w:val="20"/>
          <w:szCs w:val="20"/>
          <w:lang w:val="pt-BR"/>
        </w:rPr>
        <w:t>A interlocução deve ocorrer</w:t>
      </w:r>
      <w:r w:rsidR="00066C16" w:rsidRPr="001B4EA4">
        <w:rPr>
          <w:rFonts w:ascii="Verdana" w:hAnsi="Verdana"/>
          <w:sz w:val="20"/>
          <w:szCs w:val="20"/>
          <w:lang w:val="pt-BR"/>
        </w:rPr>
        <w:t xml:space="preserve"> principalmente</w:t>
      </w:r>
      <w:r w:rsidR="00280C15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="003A43DA">
        <w:rPr>
          <w:rFonts w:ascii="Verdana" w:hAnsi="Verdana"/>
          <w:sz w:val="20"/>
          <w:szCs w:val="20"/>
          <w:lang w:val="pt-BR"/>
        </w:rPr>
        <w:t>em</w:t>
      </w:r>
      <w:r w:rsidR="003A43DA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="00233185" w:rsidRPr="001B4EA4">
        <w:rPr>
          <w:rFonts w:ascii="Verdana" w:hAnsi="Verdana"/>
          <w:sz w:val="20"/>
          <w:szCs w:val="20"/>
          <w:lang w:val="pt-BR"/>
        </w:rPr>
        <w:t xml:space="preserve">três </w:t>
      </w:r>
      <w:r w:rsidR="003E3E44" w:rsidRPr="001B4EA4">
        <w:rPr>
          <w:rFonts w:ascii="Verdana" w:hAnsi="Verdana"/>
          <w:sz w:val="20"/>
          <w:szCs w:val="20"/>
          <w:lang w:val="pt-BR"/>
        </w:rPr>
        <w:t>etapas críticas</w:t>
      </w:r>
      <w:r w:rsidR="00933B7A" w:rsidRPr="001B4EA4">
        <w:rPr>
          <w:rFonts w:ascii="Verdana" w:hAnsi="Verdana"/>
          <w:sz w:val="20"/>
          <w:szCs w:val="20"/>
          <w:lang w:val="pt-BR"/>
        </w:rPr>
        <w:t>:</w:t>
      </w:r>
      <w:r w:rsidR="00233185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="003A43DA">
        <w:rPr>
          <w:rFonts w:ascii="Verdana" w:hAnsi="Verdana"/>
          <w:sz w:val="20"/>
          <w:szCs w:val="20"/>
          <w:lang w:val="pt-BR"/>
        </w:rPr>
        <w:t>antes, durante e após a privatização.</w:t>
      </w:r>
      <w:r w:rsidR="007349F9" w:rsidRPr="001B4EA4">
        <w:rPr>
          <w:rFonts w:ascii="Verdana" w:hAnsi="Verdana"/>
          <w:sz w:val="20"/>
          <w:szCs w:val="20"/>
          <w:lang w:val="pt-BR"/>
        </w:rPr>
        <w:t xml:space="preserve"> </w:t>
      </w:r>
    </w:p>
    <w:p w14:paraId="602F9F08" w14:textId="0D373116" w:rsidR="006318EE" w:rsidRPr="001B4EA4" w:rsidRDefault="00233185" w:rsidP="001B4EA4">
      <w:pPr>
        <w:spacing w:line="276" w:lineRule="auto"/>
        <w:ind w:firstLine="708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 xml:space="preserve">No momento prévio </w:t>
      </w:r>
      <w:r w:rsidR="00FE3104" w:rsidRPr="001B4EA4">
        <w:rPr>
          <w:rFonts w:ascii="Verdana" w:hAnsi="Verdana"/>
          <w:sz w:val="20"/>
          <w:szCs w:val="20"/>
          <w:lang w:val="pt-BR"/>
        </w:rPr>
        <w:t xml:space="preserve">devem ser identificados </w:t>
      </w:r>
      <w:r w:rsidR="00933B7A" w:rsidRPr="001B4EA4">
        <w:rPr>
          <w:rFonts w:ascii="Verdana" w:hAnsi="Verdana"/>
          <w:sz w:val="20"/>
          <w:szCs w:val="20"/>
          <w:lang w:val="pt-BR"/>
        </w:rPr>
        <w:t xml:space="preserve">os benefícios e </w:t>
      </w:r>
      <w:r w:rsidRPr="001B4EA4">
        <w:rPr>
          <w:rFonts w:ascii="Verdana" w:hAnsi="Verdana"/>
          <w:sz w:val="20"/>
          <w:szCs w:val="20"/>
          <w:lang w:val="pt-BR"/>
        </w:rPr>
        <w:t xml:space="preserve">os </w:t>
      </w:r>
      <w:r w:rsidR="00933B7A" w:rsidRPr="001B4EA4">
        <w:rPr>
          <w:rFonts w:ascii="Verdana" w:hAnsi="Verdana"/>
          <w:sz w:val="20"/>
          <w:szCs w:val="20"/>
          <w:lang w:val="pt-BR"/>
        </w:rPr>
        <w:t>riscos que o processo de privatização pode gerar a</w:t>
      </w:r>
      <w:r w:rsidR="004E3B69" w:rsidRPr="001B4EA4">
        <w:rPr>
          <w:rFonts w:ascii="Verdana" w:hAnsi="Verdana"/>
          <w:sz w:val="20"/>
          <w:szCs w:val="20"/>
          <w:lang w:val="pt-BR"/>
        </w:rPr>
        <w:t>os</w:t>
      </w:r>
      <w:r w:rsidR="00933B7A" w:rsidRPr="001B4EA4">
        <w:rPr>
          <w:rFonts w:ascii="Verdana" w:hAnsi="Verdana"/>
          <w:sz w:val="20"/>
          <w:szCs w:val="20"/>
          <w:lang w:val="pt-BR"/>
        </w:rPr>
        <w:t xml:space="preserve"> objetivos sociais que sejam parte da </w:t>
      </w:r>
      <w:r w:rsidRPr="001B4EA4">
        <w:rPr>
          <w:rFonts w:ascii="Verdana" w:hAnsi="Verdana"/>
          <w:sz w:val="20"/>
          <w:szCs w:val="20"/>
          <w:lang w:val="pt-BR"/>
        </w:rPr>
        <w:t xml:space="preserve">natureza e das atividades </w:t>
      </w:r>
      <w:r w:rsidR="00933B7A" w:rsidRPr="001B4EA4">
        <w:rPr>
          <w:rFonts w:ascii="Verdana" w:hAnsi="Verdana"/>
          <w:sz w:val="20"/>
          <w:szCs w:val="20"/>
          <w:lang w:val="pt-BR"/>
        </w:rPr>
        <w:t xml:space="preserve">das estatais. </w:t>
      </w:r>
      <w:r w:rsidR="00D2425A" w:rsidRPr="001B4EA4">
        <w:rPr>
          <w:rFonts w:ascii="Verdana" w:hAnsi="Verdana"/>
          <w:sz w:val="20"/>
          <w:szCs w:val="20"/>
          <w:lang w:val="pt-BR"/>
        </w:rPr>
        <w:t>Nesse cenário</w:t>
      </w:r>
      <w:r w:rsidR="007349F9" w:rsidRPr="001B4EA4">
        <w:rPr>
          <w:rFonts w:ascii="Verdana" w:hAnsi="Verdana"/>
          <w:sz w:val="20"/>
          <w:szCs w:val="20"/>
          <w:lang w:val="pt-BR"/>
        </w:rPr>
        <w:t xml:space="preserve">, </w:t>
      </w:r>
      <w:r w:rsidR="00F84F04" w:rsidRPr="001B4EA4">
        <w:rPr>
          <w:rFonts w:ascii="Verdana" w:hAnsi="Verdana"/>
          <w:sz w:val="20"/>
          <w:szCs w:val="20"/>
          <w:lang w:val="pt-BR"/>
        </w:rPr>
        <w:t xml:space="preserve">é </w:t>
      </w:r>
      <w:r w:rsidR="007349F9" w:rsidRPr="001B4EA4">
        <w:rPr>
          <w:rFonts w:ascii="Verdana" w:hAnsi="Verdana"/>
          <w:sz w:val="20"/>
          <w:szCs w:val="20"/>
          <w:lang w:val="pt-BR"/>
        </w:rPr>
        <w:t xml:space="preserve">relevante </w:t>
      </w:r>
      <w:r w:rsidRPr="001B4EA4">
        <w:rPr>
          <w:rFonts w:ascii="Verdana" w:hAnsi="Verdana"/>
          <w:sz w:val="20"/>
          <w:szCs w:val="20"/>
          <w:lang w:val="pt-BR"/>
        </w:rPr>
        <w:t>que se considere</w:t>
      </w:r>
      <w:r w:rsidR="007349F9" w:rsidRPr="001B4EA4">
        <w:rPr>
          <w:rFonts w:ascii="Verdana" w:hAnsi="Verdana"/>
          <w:sz w:val="20"/>
          <w:szCs w:val="20"/>
          <w:lang w:val="pt-BR"/>
        </w:rPr>
        <w:t xml:space="preserve"> o ambiente regulatório, que deve funcionar para reduzir a insegurança jurídica do processo e </w:t>
      </w:r>
      <w:r w:rsidR="004E3B69" w:rsidRPr="001B4EA4">
        <w:rPr>
          <w:rFonts w:ascii="Verdana" w:hAnsi="Verdana"/>
          <w:sz w:val="20"/>
          <w:szCs w:val="20"/>
          <w:lang w:val="pt-BR"/>
        </w:rPr>
        <w:t xml:space="preserve">para </w:t>
      </w:r>
      <w:r w:rsidR="007349F9" w:rsidRPr="001B4EA4">
        <w:rPr>
          <w:rFonts w:ascii="Verdana" w:hAnsi="Verdana"/>
          <w:sz w:val="20"/>
          <w:szCs w:val="20"/>
          <w:lang w:val="pt-BR"/>
        </w:rPr>
        <w:t xml:space="preserve">seu monitoramento. </w:t>
      </w:r>
    </w:p>
    <w:p w14:paraId="7D589A48" w14:textId="1A0AA29D" w:rsidR="001D0A9B" w:rsidRPr="001B4EA4" w:rsidRDefault="000B7B75" w:rsidP="001B4EA4">
      <w:pPr>
        <w:spacing w:line="276" w:lineRule="auto"/>
        <w:ind w:firstLine="708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>Ainda nes</w:t>
      </w:r>
      <w:r w:rsidR="00233185" w:rsidRPr="001B4EA4">
        <w:rPr>
          <w:rFonts w:ascii="Verdana" w:hAnsi="Verdana"/>
          <w:sz w:val="20"/>
          <w:szCs w:val="20"/>
          <w:lang w:val="pt-BR"/>
        </w:rPr>
        <w:t>s</w:t>
      </w:r>
      <w:r w:rsidRPr="001B4EA4">
        <w:rPr>
          <w:rFonts w:ascii="Verdana" w:hAnsi="Verdana"/>
          <w:sz w:val="20"/>
          <w:szCs w:val="20"/>
          <w:lang w:val="pt-BR"/>
        </w:rPr>
        <w:t>a etapa</w:t>
      </w:r>
      <w:r w:rsidR="0055274C" w:rsidRPr="001B4EA4">
        <w:rPr>
          <w:rFonts w:ascii="Verdana" w:hAnsi="Verdana"/>
          <w:sz w:val="20"/>
          <w:szCs w:val="20"/>
          <w:lang w:val="pt-BR"/>
        </w:rPr>
        <w:t xml:space="preserve">, passa-se </w:t>
      </w:r>
      <w:r w:rsidR="006318EE" w:rsidRPr="001B4EA4">
        <w:rPr>
          <w:rFonts w:ascii="Verdana" w:hAnsi="Verdana"/>
          <w:sz w:val="20"/>
          <w:szCs w:val="20"/>
          <w:lang w:val="pt-BR"/>
        </w:rPr>
        <w:t xml:space="preserve">aos estudos prévios e à modelagem da privatização, que devem ser desenvolvidos </w:t>
      </w:r>
      <w:r w:rsidR="004E3B69" w:rsidRPr="001B4EA4">
        <w:rPr>
          <w:rFonts w:ascii="Verdana" w:hAnsi="Verdana"/>
          <w:sz w:val="20"/>
          <w:szCs w:val="20"/>
          <w:lang w:val="pt-BR"/>
        </w:rPr>
        <w:t>por meio</w:t>
      </w:r>
      <w:r w:rsidR="00F87031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="00396A0D" w:rsidRPr="001B4EA4">
        <w:rPr>
          <w:rFonts w:ascii="Verdana" w:hAnsi="Verdana"/>
          <w:sz w:val="20"/>
          <w:szCs w:val="20"/>
          <w:lang w:val="pt-BR"/>
        </w:rPr>
        <w:t>de um</w:t>
      </w:r>
      <w:r w:rsidR="00F87031" w:rsidRPr="001B4EA4">
        <w:rPr>
          <w:rFonts w:ascii="Verdana" w:hAnsi="Verdana"/>
          <w:sz w:val="20"/>
          <w:szCs w:val="20"/>
          <w:lang w:val="pt-BR"/>
        </w:rPr>
        <w:t xml:space="preserve"> processo </w:t>
      </w:r>
      <w:r w:rsidR="00396A0D" w:rsidRPr="001B4EA4">
        <w:rPr>
          <w:rFonts w:ascii="Verdana" w:hAnsi="Verdana"/>
          <w:sz w:val="20"/>
          <w:szCs w:val="20"/>
          <w:lang w:val="pt-BR"/>
        </w:rPr>
        <w:t xml:space="preserve">transparente </w:t>
      </w:r>
      <w:r w:rsidR="004E3B69" w:rsidRPr="001B4EA4">
        <w:rPr>
          <w:rFonts w:ascii="Verdana" w:hAnsi="Verdana"/>
          <w:sz w:val="20"/>
          <w:szCs w:val="20"/>
          <w:lang w:val="pt-BR"/>
        </w:rPr>
        <w:t>e</w:t>
      </w:r>
      <w:r w:rsidR="00F87031" w:rsidRPr="001B4EA4">
        <w:rPr>
          <w:rFonts w:ascii="Verdana" w:hAnsi="Verdana"/>
          <w:sz w:val="20"/>
          <w:szCs w:val="20"/>
          <w:lang w:val="pt-BR"/>
        </w:rPr>
        <w:t xml:space="preserve"> alinhado a</w:t>
      </w:r>
      <w:r w:rsidR="006318EE" w:rsidRPr="001B4EA4">
        <w:rPr>
          <w:rFonts w:ascii="Verdana" w:hAnsi="Verdana"/>
          <w:sz w:val="20"/>
          <w:szCs w:val="20"/>
          <w:lang w:val="pt-BR"/>
        </w:rPr>
        <w:t>os</w:t>
      </w:r>
      <w:r w:rsidR="00F87031" w:rsidRPr="001B4EA4">
        <w:rPr>
          <w:rFonts w:ascii="Verdana" w:hAnsi="Verdana"/>
          <w:sz w:val="20"/>
          <w:szCs w:val="20"/>
          <w:lang w:val="pt-BR"/>
        </w:rPr>
        <w:t xml:space="preserve"> objetivos</w:t>
      </w:r>
      <w:r w:rsidR="006318EE" w:rsidRPr="001B4EA4">
        <w:rPr>
          <w:rFonts w:ascii="Verdana" w:hAnsi="Verdana"/>
          <w:sz w:val="20"/>
          <w:szCs w:val="20"/>
          <w:lang w:val="pt-BR"/>
        </w:rPr>
        <w:t xml:space="preserve"> traçados</w:t>
      </w:r>
      <w:r w:rsidR="004E3B69" w:rsidRPr="001B4EA4">
        <w:rPr>
          <w:rFonts w:ascii="Verdana" w:hAnsi="Verdana"/>
          <w:sz w:val="20"/>
          <w:szCs w:val="20"/>
          <w:lang w:val="pt-BR"/>
        </w:rPr>
        <w:t>;</w:t>
      </w:r>
      <w:r w:rsidR="0055274C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="004E3B69" w:rsidRPr="001B4EA4">
        <w:rPr>
          <w:rFonts w:ascii="Verdana" w:hAnsi="Verdana"/>
          <w:sz w:val="20"/>
          <w:szCs w:val="20"/>
          <w:lang w:val="pt-BR"/>
        </w:rPr>
        <w:t xml:space="preserve">deve-se </w:t>
      </w:r>
      <w:r w:rsidR="00CD5E5D" w:rsidRPr="001B4EA4">
        <w:rPr>
          <w:rFonts w:ascii="Verdana" w:hAnsi="Verdana"/>
          <w:sz w:val="20"/>
          <w:szCs w:val="20"/>
          <w:lang w:val="pt-BR"/>
        </w:rPr>
        <w:t>delimitar</w:t>
      </w:r>
      <w:r w:rsidR="004E3B69" w:rsidRPr="001B4EA4">
        <w:rPr>
          <w:rFonts w:ascii="Verdana" w:hAnsi="Verdana"/>
          <w:sz w:val="20"/>
          <w:szCs w:val="20"/>
          <w:lang w:val="pt-BR"/>
        </w:rPr>
        <w:t xml:space="preserve"> claramente</w:t>
      </w:r>
      <w:r w:rsidR="0055274C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="004A7830" w:rsidRPr="001B4EA4">
        <w:rPr>
          <w:rFonts w:ascii="Verdana" w:hAnsi="Verdana"/>
          <w:sz w:val="20"/>
          <w:szCs w:val="20"/>
          <w:lang w:val="pt-BR"/>
        </w:rPr>
        <w:t xml:space="preserve">a </w:t>
      </w:r>
      <w:r w:rsidR="0055274C" w:rsidRPr="001B4EA4">
        <w:rPr>
          <w:rFonts w:ascii="Verdana" w:hAnsi="Verdana"/>
          <w:sz w:val="20"/>
          <w:szCs w:val="20"/>
          <w:lang w:val="pt-BR"/>
        </w:rPr>
        <w:t xml:space="preserve">função e </w:t>
      </w:r>
      <w:r w:rsidR="004A7830" w:rsidRPr="001B4EA4">
        <w:rPr>
          <w:rFonts w:ascii="Verdana" w:hAnsi="Verdana"/>
          <w:sz w:val="20"/>
          <w:szCs w:val="20"/>
          <w:lang w:val="pt-BR"/>
        </w:rPr>
        <w:t xml:space="preserve">a </w:t>
      </w:r>
      <w:r w:rsidR="0055274C" w:rsidRPr="001B4EA4">
        <w:rPr>
          <w:rFonts w:ascii="Verdana" w:hAnsi="Verdana"/>
          <w:sz w:val="20"/>
          <w:szCs w:val="20"/>
          <w:lang w:val="pt-BR"/>
        </w:rPr>
        <w:t>legitimidade</w:t>
      </w:r>
      <w:r w:rsidR="004E3B69" w:rsidRPr="001B4EA4">
        <w:rPr>
          <w:rFonts w:ascii="Verdana" w:hAnsi="Verdana"/>
          <w:sz w:val="20"/>
          <w:szCs w:val="20"/>
          <w:lang w:val="pt-BR"/>
        </w:rPr>
        <w:t xml:space="preserve"> (</w:t>
      </w:r>
      <w:r w:rsidR="002E093A" w:rsidRPr="001B4EA4">
        <w:rPr>
          <w:rFonts w:ascii="Verdana" w:hAnsi="Verdana"/>
          <w:sz w:val="20"/>
          <w:szCs w:val="20"/>
          <w:lang w:val="pt-BR"/>
        </w:rPr>
        <w:t>política, técnica ou gerencial</w:t>
      </w:r>
      <w:r w:rsidR="004E3B69" w:rsidRPr="001B4EA4">
        <w:rPr>
          <w:rFonts w:ascii="Verdana" w:hAnsi="Verdana"/>
          <w:sz w:val="20"/>
          <w:szCs w:val="20"/>
          <w:lang w:val="pt-BR"/>
        </w:rPr>
        <w:t>)</w:t>
      </w:r>
      <w:r w:rsidR="002E093A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="0055274C" w:rsidRPr="001B4EA4">
        <w:rPr>
          <w:rFonts w:ascii="Verdana" w:hAnsi="Verdana"/>
          <w:sz w:val="20"/>
          <w:szCs w:val="20"/>
          <w:lang w:val="pt-BR"/>
        </w:rPr>
        <w:t xml:space="preserve">dos atores envolvidos. </w:t>
      </w:r>
      <w:r w:rsidR="00072AE5" w:rsidRPr="001B4EA4">
        <w:rPr>
          <w:rFonts w:ascii="Verdana" w:hAnsi="Verdana"/>
          <w:sz w:val="20"/>
          <w:szCs w:val="20"/>
          <w:lang w:val="pt-BR"/>
        </w:rPr>
        <w:t>Por fim, a</w:t>
      </w:r>
      <w:r w:rsidR="003D7379" w:rsidRPr="001B4EA4">
        <w:rPr>
          <w:rFonts w:ascii="Verdana" w:hAnsi="Verdana"/>
          <w:sz w:val="20"/>
          <w:szCs w:val="20"/>
          <w:lang w:val="pt-BR"/>
        </w:rPr>
        <w:t xml:space="preserve"> estruturação de uma boa governança corporativa</w:t>
      </w:r>
      <w:r w:rsidR="0047734F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="003D7379" w:rsidRPr="001B4EA4">
        <w:rPr>
          <w:rFonts w:ascii="Verdana" w:hAnsi="Verdana"/>
          <w:sz w:val="20"/>
          <w:szCs w:val="20"/>
          <w:lang w:val="pt-BR"/>
        </w:rPr>
        <w:t xml:space="preserve">no momento prévio se faz relevante para </w:t>
      </w:r>
      <w:r w:rsidR="004A7830" w:rsidRPr="001B4EA4">
        <w:rPr>
          <w:rFonts w:ascii="Verdana" w:hAnsi="Verdana"/>
          <w:sz w:val="20"/>
          <w:szCs w:val="20"/>
          <w:lang w:val="pt-BR"/>
        </w:rPr>
        <w:t>a maximização d</w:t>
      </w:r>
      <w:r w:rsidR="003D7379" w:rsidRPr="001B4EA4">
        <w:rPr>
          <w:rFonts w:ascii="Verdana" w:hAnsi="Verdana"/>
          <w:sz w:val="20"/>
          <w:szCs w:val="20"/>
          <w:lang w:val="pt-BR"/>
        </w:rPr>
        <w:t>a efetividade econômica da transação</w:t>
      </w:r>
      <w:r w:rsidR="00726654" w:rsidRPr="001B4EA4">
        <w:rPr>
          <w:rFonts w:ascii="Verdana" w:hAnsi="Verdana"/>
          <w:sz w:val="20"/>
          <w:szCs w:val="20"/>
          <w:lang w:val="pt-BR"/>
        </w:rPr>
        <w:t>, garantindo, por exemplo, a integridade de todo o processo</w:t>
      </w:r>
      <w:r w:rsidR="003D7379" w:rsidRPr="001B4EA4">
        <w:rPr>
          <w:rFonts w:ascii="Verdana" w:hAnsi="Verdana"/>
          <w:sz w:val="20"/>
          <w:szCs w:val="20"/>
          <w:lang w:val="pt-BR"/>
        </w:rPr>
        <w:t xml:space="preserve">. </w:t>
      </w:r>
    </w:p>
    <w:p w14:paraId="27F2F3BF" w14:textId="1C6F7036" w:rsidR="00253965" w:rsidRPr="001B4EA4" w:rsidRDefault="00507811" w:rsidP="001B4EA4">
      <w:pPr>
        <w:spacing w:line="276" w:lineRule="auto"/>
        <w:ind w:firstLine="708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 xml:space="preserve">Durante a privatização, </w:t>
      </w:r>
      <w:r w:rsidR="005E07D8" w:rsidRPr="001B4EA4">
        <w:rPr>
          <w:rFonts w:ascii="Verdana" w:hAnsi="Verdana"/>
          <w:sz w:val="20"/>
          <w:szCs w:val="20"/>
          <w:lang w:val="pt-BR"/>
        </w:rPr>
        <w:t xml:space="preserve">o monitoramento por entes independentes e qualificados, que possam emitir pareceres técnicos e opinativos, contribui para </w:t>
      </w:r>
      <w:r w:rsidR="004A7830" w:rsidRPr="001B4EA4">
        <w:rPr>
          <w:rFonts w:ascii="Verdana" w:hAnsi="Verdana"/>
          <w:sz w:val="20"/>
          <w:szCs w:val="20"/>
          <w:lang w:val="pt-BR"/>
        </w:rPr>
        <w:t>a prevenção de</w:t>
      </w:r>
      <w:r w:rsidR="005E07D8" w:rsidRPr="001B4EA4">
        <w:rPr>
          <w:rFonts w:ascii="Verdana" w:hAnsi="Verdana"/>
          <w:sz w:val="20"/>
          <w:szCs w:val="20"/>
          <w:lang w:val="pt-BR"/>
        </w:rPr>
        <w:t xml:space="preserve"> práticas irregulares e violações ao interesse público.</w:t>
      </w:r>
      <w:r w:rsidR="00253965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="004A7830" w:rsidRPr="001B4EA4">
        <w:rPr>
          <w:rFonts w:ascii="Verdana" w:hAnsi="Verdana"/>
          <w:sz w:val="20"/>
          <w:szCs w:val="20"/>
          <w:lang w:val="pt-BR"/>
        </w:rPr>
        <w:t>Relacionado à tra</w:t>
      </w:r>
      <w:r w:rsidR="00253965" w:rsidRPr="001B4EA4">
        <w:rPr>
          <w:rFonts w:ascii="Verdana" w:hAnsi="Verdana"/>
          <w:sz w:val="20"/>
          <w:szCs w:val="20"/>
          <w:lang w:val="pt-BR"/>
        </w:rPr>
        <w:t>nsparência</w:t>
      </w:r>
      <w:r w:rsidR="00A10818" w:rsidRPr="001B4EA4">
        <w:rPr>
          <w:rFonts w:ascii="Verdana" w:hAnsi="Verdana"/>
          <w:sz w:val="20"/>
          <w:szCs w:val="20"/>
          <w:lang w:val="pt-BR"/>
        </w:rPr>
        <w:t xml:space="preserve">, </w:t>
      </w:r>
      <w:r w:rsidR="009E398D" w:rsidRPr="001B4EA4">
        <w:rPr>
          <w:rFonts w:ascii="Verdana" w:hAnsi="Verdana"/>
          <w:sz w:val="20"/>
          <w:szCs w:val="20"/>
          <w:lang w:val="pt-BR"/>
        </w:rPr>
        <w:t>es</w:t>
      </w:r>
      <w:r w:rsidR="004A7830" w:rsidRPr="001B4EA4">
        <w:rPr>
          <w:rFonts w:ascii="Verdana" w:hAnsi="Verdana"/>
          <w:sz w:val="20"/>
          <w:szCs w:val="20"/>
          <w:lang w:val="pt-BR"/>
        </w:rPr>
        <w:t>s</w:t>
      </w:r>
      <w:r w:rsidR="009E398D" w:rsidRPr="001B4EA4">
        <w:rPr>
          <w:rFonts w:ascii="Verdana" w:hAnsi="Verdana"/>
          <w:sz w:val="20"/>
          <w:szCs w:val="20"/>
          <w:lang w:val="pt-BR"/>
        </w:rPr>
        <w:t xml:space="preserve">e controle </w:t>
      </w:r>
      <w:r w:rsidR="004A7830" w:rsidRPr="001B4EA4">
        <w:rPr>
          <w:rFonts w:ascii="Verdana" w:hAnsi="Verdana"/>
          <w:sz w:val="20"/>
          <w:szCs w:val="20"/>
          <w:lang w:val="pt-BR"/>
        </w:rPr>
        <w:t>pode</w:t>
      </w:r>
      <w:r w:rsidR="009E398D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="00A10818" w:rsidRPr="001B4EA4">
        <w:rPr>
          <w:rFonts w:ascii="Verdana" w:hAnsi="Verdana"/>
          <w:sz w:val="20"/>
          <w:szCs w:val="20"/>
          <w:lang w:val="pt-BR"/>
        </w:rPr>
        <w:t xml:space="preserve">coibir </w:t>
      </w:r>
      <w:r w:rsidR="00D978E4" w:rsidRPr="001B4EA4">
        <w:rPr>
          <w:rFonts w:ascii="Verdana" w:hAnsi="Verdana"/>
          <w:sz w:val="20"/>
          <w:szCs w:val="20"/>
          <w:lang w:val="pt-BR"/>
        </w:rPr>
        <w:t>suborno</w:t>
      </w:r>
      <w:r w:rsidR="00A10818" w:rsidRPr="001B4EA4">
        <w:rPr>
          <w:rFonts w:ascii="Verdana" w:hAnsi="Verdana"/>
          <w:sz w:val="20"/>
          <w:szCs w:val="20"/>
          <w:lang w:val="pt-BR"/>
        </w:rPr>
        <w:t>s</w:t>
      </w:r>
      <w:r w:rsidR="00D978E4" w:rsidRPr="001B4EA4">
        <w:rPr>
          <w:rFonts w:ascii="Verdana" w:hAnsi="Verdana"/>
          <w:sz w:val="20"/>
          <w:szCs w:val="20"/>
          <w:lang w:val="pt-BR"/>
        </w:rPr>
        <w:t>, tráfico de influência,</w:t>
      </w:r>
      <w:r w:rsidR="009E398D" w:rsidRPr="001B4EA4">
        <w:rPr>
          <w:rFonts w:ascii="Verdana" w:hAnsi="Verdana"/>
          <w:sz w:val="20"/>
          <w:szCs w:val="20"/>
          <w:lang w:val="pt-BR"/>
        </w:rPr>
        <w:t xml:space="preserve"> conflitos de interesses, </w:t>
      </w:r>
      <w:r w:rsidR="00D978E4" w:rsidRPr="001B4EA4">
        <w:rPr>
          <w:rFonts w:ascii="Verdana" w:hAnsi="Verdana"/>
          <w:sz w:val="20"/>
          <w:szCs w:val="20"/>
          <w:lang w:val="pt-BR"/>
        </w:rPr>
        <w:t xml:space="preserve">distorções </w:t>
      </w:r>
      <w:r w:rsidR="00A10818" w:rsidRPr="001B4EA4">
        <w:rPr>
          <w:rFonts w:ascii="Verdana" w:hAnsi="Verdana"/>
          <w:sz w:val="20"/>
          <w:szCs w:val="20"/>
          <w:lang w:val="pt-BR"/>
        </w:rPr>
        <w:t>em valores</w:t>
      </w:r>
      <w:r w:rsidR="009E398D" w:rsidRPr="001B4EA4">
        <w:rPr>
          <w:rFonts w:ascii="Verdana" w:hAnsi="Verdana"/>
          <w:sz w:val="20"/>
          <w:szCs w:val="20"/>
          <w:lang w:val="pt-BR"/>
        </w:rPr>
        <w:t xml:space="preserve"> e critérios de venda</w:t>
      </w:r>
      <w:r w:rsidR="00A10818" w:rsidRPr="001B4EA4">
        <w:rPr>
          <w:rFonts w:ascii="Verdana" w:hAnsi="Verdana"/>
          <w:sz w:val="20"/>
          <w:szCs w:val="20"/>
          <w:lang w:val="pt-BR"/>
        </w:rPr>
        <w:t>, inadequaç</w:t>
      </w:r>
      <w:r w:rsidR="009E398D" w:rsidRPr="001B4EA4">
        <w:rPr>
          <w:rFonts w:ascii="Verdana" w:hAnsi="Verdana"/>
          <w:sz w:val="20"/>
          <w:szCs w:val="20"/>
          <w:lang w:val="pt-BR"/>
        </w:rPr>
        <w:t>ões no</w:t>
      </w:r>
      <w:r w:rsidR="00A10818" w:rsidRPr="001B4EA4">
        <w:rPr>
          <w:rFonts w:ascii="Verdana" w:hAnsi="Verdana"/>
          <w:sz w:val="20"/>
          <w:szCs w:val="20"/>
          <w:lang w:val="pt-BR"/>
        </w:rPr>
        <w:t xml:space="preserve"> momento de venda, omissões em </w:t>
      </w:r>
      <w:r w:rsidR="009E398D" w:rsidRPr="001B4EA4">
        <w:rPr>
          <w:rFonts w:ascii="Verdana" w:hAnsi="Verdana"/>
          <w:sz w:val="20"/>
          <w:szCs w:val="20"/>
          <w:lang w:val="pt-BR"/>
        </w:rPr>
        <w:t>condutas e verificações</w:t>
      </w:r>
      <w:r w:rsidR="00A10818" w:rsidRPr="001B4EA4">
        <w:rPr>
          <w:rFonts w:ascii="Verdana" w:hAnsi="Verdana"/>
          <w:sz w:val="20"/>
          <w:szCs w:val="20"/>
          <w:lang w:val="pt-BR"/>
        </w:rPr>
        <w:t xml:space="preserve"> necessárias, </w:t>
      </w:r>
      <w:r w:rsidR="009E398D" w:rsidRPr="001B4EA4">
        <w:rPr>
          <w:rFonts w:ascii="Verdana" w:hAnsi="Verdana"/>
          <w:sz w:val="20"/>
          <w:szCs w:val="20"/>
          <w:lang w:val="pt-BR"/>
        </w:rPr>
        <w:t xml:space="preserve">prejuízos à concorrência, entre outros. </w:t>
      </w:r>
    </w:p>
    <w:p w14:paraId="46DAF155" w14:textId="7C1F333D" w:rsidR="00396A0D" w:rsidRPr="001B4EA4" w:rsidRDefault="009E485D" w:rsidP="001B4EA4">
      <w:pPr>
        <w:spacing w:line="276" w:lineRule="auto"/>
        <w:ind w:firstLine="708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>A</w:t>
      </w:r>
      <w:r w:rsidR="0057193D" w:rsidRPr="001B4EA4">
        <w:rPr>
          <w:rFonts w:ascii="Verdana" w:hAnsi="Verdana"/>
          <w:sz w:val="20"/>
          <w:szCs w:val="20"/>
          <w:lang w:val="pt-BR"/>
        </w:rPr>
        <w:t xml:space="preserve"> privatização</w:t>
      </w:r>
      <w:r w:rsidRPr="001B4EA4">
        <w:rPr>
          <w:rFonts w:ascii="Verdana" w:hAnsi="Verdana"/>
          <w:sz w:val="20"/>
          <w:szCs w:val="20"/>
          <w:lang w:val="pt-BR"/>
        </w:rPr>
        <w:t>, por isso,</w:t>
      </w:r>
      <w:r w:rsidR="0057193D" w:rsidRPr="001B4EA4">
        <w:rPr>
          <w:rFonts w:ascii="Verdana" w:hAnsi="Verdana"/>
          <w:sz w:val="20"/>
          <w:szCs w:val="20"/>
          <w:lang w:val="pt-BR"/>
        </w:rPr>
        <w:t xml:space="preserve"> deve ser sustentada por um processo de decisão informada e pela consulta pública dos interessados. </w:t>
      </w:r>
      <w:r w:rsidRPr="001B4EA4">
        <w:rPr>
          <w:rFonts w:ascii="Verdana" w:hAnsi="Verdana"/>
          <w:sz w:val="20"/>
          <w:szCs w:val="20"/>
          <w:lang w:val="pt-BR"/>
        </w:rPr>
        <w:t>Também</w:t>
      </w:r>
      <w:r w:rsidR="006318EE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="00FC76D0" w:rsidRPr="001B4EA4">
        <w:rPr>
          <w:rFonts w:ascii="Verdana" w:hAnsi="Verdana"/>
          <w:sz w:val="20"/>
          <w:szCs w:val="20"/>
          <w:lang w:val="pt-BR"/>
        </w:rPr>
        <w:t>se sugere</w:t>
      </w:r>
      <w:r w:rsidR="00D2425A" w:rsidRPr="001B4EA4">
        <w:rPr>
          <w:rFonts w:ascii="Verdana" w:hAnsi="Verdana"/>
          <w:sz w:val="20"/>
          <w:szCs w:val="20"/>
          <w:lang w:val="pt-BR"/>
        </w:rPr>
        <w:t xml:space="preserve"> que </w:t>
      </w:r>
      <w:r w:rsidR="006318EE" w:rsidRPr="001B4EA4">
        <w:rPr>
          <w:rFonts w:ascii="Verdana" w:hAnsi="Verdana"/>
          <w:sz w:val="20"/>
          <w:szCs w:val="20"/>
          <w:lang w:val="pt-BR"/>
        </w:rPr>
        <w:t xml:space="preserve">os envolvidos </w:t>
      </w:r>
      <w:r w:rsidR="00D2425A" w:rsidRPr="001B4EA4">
        <w:rPr>
          <w:rFonts w:ascii="Verdana" w:hAnsi="Verdana"/>
          <w:sz w:val="20"/>
          <w:szCs w:val="20"/>
          <w:lang w:val="pt-BR"/>
        </w:rPr>
        <w:t>ajam</w:t>
      </w:r>
      <w:r w:rsidR="006318EE" w:rsidRPr="001B4EA4">
        <w:rPr>
          <w:rFonts w:ascii="Verdana" w:hAnsi="Verdana"/>
          <w:sz w:val="20"/>
          <w:szCs w:val="20"/>
          <w:lang w:val="pt-BR"/>
        </w:rPr>
        <w:t xml:space="preserve"> de forma cooperativa, evitando comportamento</w:t>
      </w:r>
      <w:r w:rsidR="004A7830" w:rsidRPr="001B4EA4">
        <w:rPr>
          <w:rFonts w:ascii="Verdana" w:hAnsi="Verdana"/>
          <w:sz w:val="20"/>
          <w:szCs w:val="20"/>
          <w:lang w:val="pt-BR"/>
        </w:rPr>
        <w:t>s conflitivos</w:t>
      </w:r>
      <w:r w:rsidR="006318EE" w:rsidRPr="001B4EA4">
        <w:rPr>
          <w:rFonts w:ascii="Verdana" w:hAnsi="Verdana"/>
          <w:sz w:val="20"/>
          <w:szCs w:val="20"/>
          <w:lang w:val="pt-BR"/>
        </w:rPr>
        <w:t xml:space="preserve"> que possam culminar na judicialização do processo. </w:t>
      </w:r>
      <w:r w:rsidR="004A7830" w:rsidRPr="001B4EA4">
        <w:rPr>
          <w:rFonts w:ascii="Verdana" w:hAnsi="Verdana"/>
          <w:sz w:val="20"/>
          <w:szCs w:val="20"/>
          <w:lang w:val="pt-BR"/>
        </w:rPr>
        <w:t>Com esse resguardo</w:t>
      </w:r>
      <w:r w:rsidR="00C00038" w:rsidRPr="001B4EA4">
        <w:rPr>
          <w:rFonts w:ascii="Verdana" w:hAnsi="Verdana"/>
          <w:sz w:val="20"/>
          <w:szCs w:val="20"/>
          <w:lang w:val="pt-BR"/>
        </w:rPr>
        <w:t xml:space="preserve"> pretende-se garantir o uso eficiente d</w:t>
      </w:r>
      <w:r w:rsidR="004A7830" w:rsidRPr="001B4EA4">
        <w:rPr>
          <w:rFonts w:ascii="Verdana" w:hAnsi="Verdana"/>
          <w:sz w:val="20"/>
          <w:szCs w:val="20"/>
          <w:lang w:val="pt-BR"/>
        </w:rPr>
        <w:t>os</w:t>
      </w:r>
      <w:r w:rsidR="00C00038" w:rsidRPr="001B4EA4">
        <w:rPr>
          <w:rFonts w:ascii="Verdana" w:hAnsi="Verdana"/>
          <w:sz w:val="20"/>
          <w:szCs w:val="20"/>
          <w:lang w:val="pt-BR"/>
        </w:rPr>
        <w:t xml:space="preserve"> recursos públicos.</w:t>
      </w:r>
      <w:r w:rsidR="0057193D" w:rsidRPr="001B4EA4">
        <w:rPr>
          <w:rFonts w:ascii="Verdana" w:hAnsi="Verdana"/>
          <w:sz w:val="20"/>
          <w:szCs w:val="20"/>
          <w:lang w:val="pt-BR"/>
        </w:rPr>
        <w:t xml:space="preserve"> </w:t>
      </w:r>
    </w:p>
    <w:p w14:paraId="2607062C" w14:textId="150A3D39" w:rsidR="006B087C" w:rsidRPr="001B4EA4" w:rsidRDefault="003C30AF" w:rsidP="001B4EA4">
      <w:pPr>
        <w:spacing w:line="276" w:lineRule="auto"/>
        <w:ind w:firstLine="708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>A</w:t>
      </w:r>
      <w:r w:rsidR="007F4E38" w:rsidRPr="001B4EA4">
        <w:rPr>
          <w:rFonts w:ascii="Verdana" w:hAnsi="Verdana"/>
          <w:sz w:val="20"/>
          <w:szCs w:val="20"/>
          <w:lang w:val="pt-BR"/>
        </w:rPr>
        <w:t>pós a privatização</w:t>
      </w:r>
      <w:r w:rsidR="00960553" w:rsidRPr="001B4EA4">
        <w:rPr>
          <w:rFonts w:ascii="Verdana" w:hAnsi="Verdana"/>
          <w:sz w:val="20"/>
          <w:szCs w:val="20"/>
          <w:lang w:val="pt-BR"/>
        </w:rPr>
        <w:t>,</w:t>
      </w:r>
      <w:r w:rsidR="007F4E38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="00FE3104" w:rsidRPr="001B4EA4">
        <w:rPr>
          <w:rFonts w:ascii="Verdana" w:hAnsi="Verdana"/>
          <w:sz w:val="20"/>
          <w:szCs w:val="20"/>
          <w:lang w:val="pt-BR"/>
        </w:rPr>
        <w:t>é recomendado o</w:t>
      </w:r>
      <w:r w:rsidR="00281AC7" w:rsidRPr="001B4EA4">
        <w:rPr>
          <w:rFonts w:ascii="Verdana" w:hAnsi="Verdana"/>
          <w:sz w:val="20"/>
          <w:szCs w:val="20"/>
          <w:lang w:val="pt-BR"/>
        </w:rPr>
        <w:t xml:space="preserve"> estabeleci</w:t>
      </w:r>
      <w:r w:rsidR="00FE3104" w:rsidRPr="001B4EA4">
        <w:rPr>
          <w:rFonts w:ascii="Verdana" w:hAnsi="Verdana"/>
          <w:sz w:val="20"/>
          <w:szCs w:val="20"/>
          <w:lang w:val="pt-BR"/>
        </w:rPr>
        <w:t>mento de</w:t>
      </w:r>
      <w:r w:rsidR="00281AC7" w:rsidRPr="001B4EA4">
        <w:rPr>
          <w:rFonts w:ascii="Verdana" w:hAnsi="Verdana"/>
          <w:sz w:val="20"/>
          <w:szCs w:val="20"/>
          <w:lang w:val="pt-BR"/>
        </w:rPr>
        <w:t xml:space="preserve"> um mecanismo</w:t>
      </w:r>
      <w:r w:rsidR="000A7034" w:rsidRPr="001B4EA4">
        <w:rPr>
          <w:rFonts w:ascii="Verdana" w:hAnsi="Verdana"/>
          <w:sz w:val="20"/>
          <w:szCs w:val="20"/>
          <w:lang w:val="pt-BR"/>
        </w:rPr>
        <w:t xml:space="preserve"> sistemático e</w:t>
      </w:r>
      <w:r w:rsidR="00281AC7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="007F4E38" w:rsidRPr="001B4EA4">
        <w:rPr>
          <w:rFonts w:ascii="Verdana" w:hAnsi="Verdana"/>
          <w:sz w:val="20"/>
          <w:szCs w:val="20"/>
          <w:lang w:val="pt-BR"/>
        </w:rPr>
        <w:t xml:space="preserve">eficiente </w:t>
      </w:r>
      <w:r w:rsidR="00281AC7" w:rsidRPr="001B4EA4">
        <w:rPr>
          <w:rFonts w:ascii="Verdana" w:hAnsi="Verdana"/>
          <w:sz w:val="20"/>
          <w:szCs w:val="20"/>
          <w:lang w:val="pt-BR"/>
        </w:rPr>
        <w:t>de monitoramento dos objetivos sociais</w:t>
      </w:r>
      <w:r w:rsidR="007F4E38" w:rsidRPr="001B4EA4">
        <w:rPr>
          <w:rFonts w:ascii="Verdana" w:hAnsi="Verdana"/>
          <w:sz w:val="20"/>
          <w:szCs w:val="20"/>
          <w:lang w:val="pt-BR"/>
        </w:rPr>
        <w:t xml:space="preserve"> por parte </w:t>
      </w:r>
      <w:r w:rsidR="00960553" w:rsidRPr="001B4EA4">
        <w:rPr>
          <w:rFonts w:ascii="Verdana" w:hAnsi="Verdana"/>
          <w:sz w:val="20"/>
          <w:szCs w:val="20"/>
          <w:lang w:val="pt-BR"/>
        </w:rPr>
        <w:t>do Estado</w:t>
      </w:r>
      <w:r w:rsidRPr="001B4EA4">
        <w:rPr>
          <w:rFonts w:ascii="Verdana" w:hAnsi="Verdana"/>
          <w:sz w:val="20"/>
          <w:szCs w:val="20"/>
          <w:lang w:val="pt-BR"/>
        </w:rPr>
        <w:t>. A consolidação de agências reguladoras independentes constitui</w:t>
      </w:r>
      <w:r w:rsidR="009E485D" w:rsidRPr="001B4EA4">
        <w:rPr>
          <w:rFonts w:ascii="Verdana" w:hAnsi="Verdana"/>
          <w:sz w:val="20"/>
          <w:szCs w:val="20"/>
          <w:lang w:val="pt-BR"/>
        </w:rPr>
        <w:t>, nesse aspecto,</w:t>
      </w:r>
      <w:r w:rsidRPr="001B4EA4">
        <w:rPr>
          <w:rFonts w:ascii="Verdana" w:hAnsi="Verdana"/>
          <w:sz w:val="20"/>
          <w:szCs w:val="20"/>
          <w:lang w:val="pt-BR"/>
        </w:rPr>
        <w:t xml:space="preserve"> fator estrutural relevante.</w:t>
      </w:r>
      <w:r w:rsidR="007F4E38" w:rsidRPr="001B4EA4">
        <w:rPr>
          <w:rFonts w:ascii="Verdana" w:hAnsi="Verdana"/>
          <w:sz w:val="20"/>
          <w:szCs w:val="20"/>
          <w:lang w:val="pt-BR"/>
        </w:rPr>
        <w:t xml:space="preserve"> </w:t>
      </w:r>
    </w:p>
    <w:p w14:paraId="2DF1BEAA" w14:textId="260616B2" w:rsidR="00D2425A" w:rsidRPr="001B4EA4" w:rsidRDefault="003C30AF" w:rsidP="001B4EA4">
      <w:pPr>
        <w:spacing w:line="276" w:lineRule="auto"/>
        <w:ind w:firstLine="708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 xml:space="preserve">Por fim, </w:t>
      </w:r>
      <w:r w:rsidR="004A7830" w:rsidRPr="001B4EA4">
        <w:rPr>
          <w:rFonts w:ascii="Verdana" w:hAnsi="Verdana"/>
          <w:sz w:val="20"/>
          <w:szCs w:val="20"/>
          <w:lang w:val="pt-BR"/>
        </w:rPr>
        <w:t xml:space="preserve">ao longo de todo o </w:t>
      </w:r>
      <w:r w:rsidRPr="001B4EA4">
        <w:rPr>
          <w:rFonts w:ascii="Verdana" w:hAnsi="Verdana"/>
          <w:sz w:val="20"/>
          <w:szCs w:val="20"/>
          <w:lang w:val="pt-BR"/>
        </w:rPr>
        <w:t>processo</w:t>
      </w:r>
      <w:r w:rsidR="00D2425A" w:rsidRPr="001B4EA4">
        <w:rPr>
          <w:rFonts w:ascii="Verdana" w:hAnsi="Verdana"/>
          <w:sz w:val="20"/>
          <w:szCs w:val="20"/>
          <w:lang w:val="pt-BR"/>
        </w:rPr>
        <w:t xml:space="preserve"> os objetivos da privatização, as condições mercadológicas e de concorrência e a atividade desempenhada pela empresa estatal devem influenciar a decisão e a </w:t>
      </w:r>
      <w:r w:rsidR="00407DA2" w:rsidRPr="001B4EA4">
        <w:rPr>
          <w:rFonts w:ascii="Verdana" w:hAnsi="Verdana"/>
          <w:sz w:val="20"/>
          <w:szCs w:val="20"/>
          <w:lang w:val="pt-BR"/>
        </w:rPr>
        <w:t>modelagem</w:t>
      </w:r>
      <w:r w:rsidR="00D2425A" w:rsidRPr="001B4EA4">
        <w:rPr>
          <w:rFonts w:ascii="Verdana" w:hAnsi="Verdana"/>
          <w:sz w:val="20"/>
          <w:szCs w:val="20"/>
          <w:lang w:val="pt-BR"/>
        </w:rPr>
        <w:t xml:space="preserve"> d</w:t>
      </w:r>
      <w:r w:rsidR="00407DA2" w:rsidRPr="001B4EA4">
        <w:rPr>
          <w:rFonts w:ascii="Verdana" w:hAnsi="Verdana"/>
          <w:sz w:val="20"/>
          <w:szCs w:val="20"/>
          <w:lang w:val="pt-BR"/>
        </w:rPr>
        <w:t>a</w:t>
      </w:r>
      <w:r w:rsidR="00D2425A" w:rsidRPr="001B4EA4">
        <w:rPr>
          <w:rFonts w:ascii="Verdana" w:hAnsi="Verdana"/>
          <w:sz w:val="20"/>
          <w:szCs w:val="20"/>
          <w:lang w:val="pt-BR"/>
        </w:rPr>
        <w:t xml:space="preserve"> privatização</w:t>
      </w:r>
      <w:r w:rsidR="004A7830" w:rsidRPr="001B4EA4">
        <w:rPr>
          <w:rFonts w:ascii="Verdana" w:hAnsi="Verdana"/>
          <w:sz w:val="20"/>
          <w:szCs w:val="20"/>
          <w:lang w:val="pt-BR"/>
        </w:rPr>
        <w:t>,</w:t>
      </w:r>
      <w:r w:rsidR="00D2425A" w:rsidRPr="001B4EA4">
        <w:rPr>
          <w:rFonts w:ascii="Verdana" w:hAnsi="Verdana"/>
          <w:sz w:val="20"/>
          <w:szCs w:val="20"/>
          <w:lang w:val="pt-BR"/>
        </w:rPr>
        <w:t xml:space="preserve"> para </w:t>
      </w:r>
      <w:r w:rsidR="004A7830" w:rsidRPr="001B4EA4">
        <w:rPr>
          <w:rFonts w:ascii="Verdana" w:hAnsi="Verdana"/>
          <w:sz w:val="20"/>
          <w:szCs w:val="20"/>
          <w:lang w:val="pt-BR"/>
        </w:rPr>
        <w:t xml:space="preserve">que se garanta </w:t>
      </w:r>
      <w:r w:rsidR="00D2425A" w:rsidRPr="001B4EA4">
        <w:rPr>
          <w:rFonts w:ascii="Verdana" w:hAnsi="Verdana"/>
          <w:sz w:val="20"/>
          <w:szCs w:val="20"/>
          <w:lang w:val="pt-BR"/>
        </w:rPr>
        <w:t xml:space="preserve">o atendimento do interesse público. </w:t>
      </w:r>
      <w:r w:rsidR="009E485D" w:rsidRPr="001B4EA4">
        <w:rPr>
          <w:rFonts w:ascii="Verdana" w:hAnsi="Verdana"/>
          <w:sz w:val="20"/>
          <w:szCs w:val="20"/>
          <w:lang w:val="pt-BR"/>
        </w:rPr>
        <w:t>É igualmente</w:t>
      </w:r>
      <w:r w:rsidR="00D2425A" w:rsidRPr="001B4EA4">
        <w:rPr>
          <w:rFonts w:ascii="Verdana" w:hAnsi="Verdana"/>
          <w:sz w:val="20"/>
          <w:szCs w:val="20"/>
          <w:lang w:val="pt-BR"/>
        </w:rPr>
        <w:t xml:space="preserve"> essencial que haja clareza quanto à regulação e </w:t>
      </w:r>
      <w:r w:rsidR="004A7830" w:rsidRPr="001B4EA4">
        <w:rPr>
          <w:rFonts w:ascii="Verdana" w:hAnsi="Verdana"/>
          <w:sz w:val="20"/>
          <w:szCs w:val="20"/>
          <w:lang w:val="pt-BR"/>
        </w:rPr>
        <w:t xml:space="preserve">aos </w:t>
      </w:r>
      <w:r w:rsidR="00D2425A" w:rsidRPr="001B4EA4">
        <w:rPr>
          <w:rFonts w:ascii="Verdana" w:hAnsi="Verdana"/>
          <w:sz w:val="20"/>
          <w:szCs w:val="20"/>
          <w:lang w:val="pt-BR"/>
        </w:rPr>
        <w:t xml:space="preserve">impactos econômicos amplos da transação no mercado em questão. </w:t>
      </w:r>
    </w:p>
    <w:p w14:paraId="715423DB" w14:textId="77777777" w:rsidR="00DE6CF4" w:rsidRPr="001B4EA4" w:rsidRDefault="00DE6CF4" w:rsidP="001B4EA4">
      <w:pPr>
        <w:spacing w:line="276" w:lineRule="auto"/>
        <w:ind w:firstLine="708"/>
        <w:jc w:val="both"/>
        <w:rPr>
          <w:rFonts w:ascii="Verdana" w:hAnsi="Verdana"/>
          <w:sz w:val="20"/>
          <w:szCs w:val="20"/>
          <w:lang w:val="pt-BR"/>
        </w:rPr>
      </w:pPr>
    </w:p>
    <w:p w14:paraId="4DCCB38C" w14:textId="5403BF42" w:rsidR="008D5E6B" w:rsidRPr="00215482" w:rsidRDefault="008D5E6B" w:rsidP="001B4EA4">
      <w:pPr>
        <w:pStyle w:val="Ttulo2"/>
        <w:spacing w:before="0" w:after="160" w:line="276" w:lineRule="auto"/>
        <w:contextualSpacing/>
        <w:jc w:val="both"/>
        <w:rPr>
          <w:rFonts w:ascii="Verdana" w:hAnsi="Verdana"/>
          <w:b/>
          <w:sz w:val="20"/>
          <w:szCs w:val="20"/>
          <w:lang w:val="pt-BR"/>
        </w:rPr>
      </w:pPr>
      <w:bookmarkStart w:id="3" w:name="_Toc20752229"/>
      <w:r w:rsidRPr="00215482">
        <w:rPr>
          <w:rFonts w:ascii="Verdana" w:hAnsi="Verdana"/>
          <w:b/>
          <w:sz w:val="20"/>
          <w:szCs w:val="20"/>
          <w:lang w:val="pt-BR"/>
        </w:rPr>
        <w:t>Ambiente regulatório</w:t>
      </w:r>
      <w:bookmarkEnd w:id="3"/>
    </w:p>
    <w:p w14:paraId="4110D687" w14:textId="105F868E" w:rsidR="008D5E6B" w:rsidRPr="001B4EA4" w:rsidRDefault="008D5E6B" w:rsidP="001B4EA4">
      <w:pPr>
        <w:spacing w:line="276" w:lineRule="auto"/>
        <w:ind w:firstLine="720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 xml:space="preserve">Um ambiente regulatório ideal deve prover previsibilidade e segurança em relação aos comportamentos dos agentes econômicos e das instituições. Contudo, a predominância de princípios e conceitos legais abertos e indeterminados no ordenamento brasileiro, </w:t>
      </w:r>
      <w:r w:rsidR="004A7830" w:rsidRPr="001B4EA4">
        <w:rPr>
          <w:rFonts w:ascii="Verdana" w:hAnsi="Verdana"/>
          <w:sz w:val="20"/>
          <w:szCs w:val="20"/>
          <w:lang w:val="pt-BR"/>
        </w:rPr>
        <w:t xml:space="preserve">as </w:t>
      </w:r>
      <w:r w:rsidRPr="001B4EA4">
        <w:rPr>
          <w:rFonts w:ascii="Verdana" w:hAnsi="Verdana"/>
          <w:sz w:val="20"/>
          <w:szCs w:val="20"/>
          <w:lang w:val="pt-BR"/>
        </w:rPr>
        <w:t>diferenças perceptivas e a interpretação dos enunciados normativos em casos concretos podem produzir soluções distantes da expectativa das partes envolvidas e dificultar a atividade econômica em geral.</w:t>
      </w:r>
    </w:p>
    <w:p w14:paraId="3E02DCA0" w14:textId="07F981B9" w:rsidR="008D5E6B" w:rsidRPr="001B4EA4" w:rsidRDefault="008D5E6B" w:rsidP="001B4EA4">
      <w:pPr>
        <w:spacing w:line="276" w:lineRule="auto"/>
        <w:ind w:firstLine="720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 xml:space="preserve">A </w:t>
      </w:r>
      <w:r w:rsidR="004A7830" w:rsidRPr="001B4EA4">
        <w:rPr>
          <w:rFonts w:ascii="Verdana" w:hAnsi="Verdana"/>
          <w:sz w:val="20"/>
          <w:szCs w:val="20"/>
          <w:lang w:val="pt-BR"/>
        </w:rPr>
        <w:t>leitura</w:t>
      </w:r>
      <w:r w:rsidRPr="001B4EA4">
        <w:rPr>
          <w:rFonts w:ascii="Verdana" w:hAnsi="Verdana"/>
          <w:sz w:val="20"/>
          <w:szCs w:val="20"/>
          <w:lang w:val="pt-BR"/>
        </w:rPr>
        <w:t xml:space="preserve"> das normas pode </w:t>
      </w:r>
      <w:r w:rsidR="009E485D" w:rsidRPr="001B4EA4">
        <w:rPr>
          <w:rFonts w:ascii="Verdana" w:hAnsi="Verdana"/>
          <w:sz w:val="20"/>
          <w:szCs w:val="20"/>
          <w:lang w:val="pt-BR"/>
        </w:rPr>
        <w:t>amplificar</w:t>
      </w:r>
      <w:r w:rsidRPr="001B4EA4">
        <w:rPr>
          <w:rFonts w:ascii="Verdana" w:hAnsi="Verdana"/>
          <w:sz w:val="20"/>
          <w:szCs w:val="20"/>
          <w:lang w:val="pt-BR"/>
        </w:rPr>
        <w:t xml:space="preserve"> a sensação de incerteza caso os critérios </w:t>
      </w:r>
      <w:r w:rsidR="004A7830" w:rsidRPr="001B4EA4">
        <w:rPr>
          <w:rFonts w:ascii="Verdana" w:hAnsi="Verdana"/>
          <w:sz w:val="20"/>
          <w:szCs w:val="20"/>
          <w:lang w:val="pt-BR"/>
        </w:rPr>
        <w:t>constantes d</w:t>
      </w:r>
      <w:r w:rsidRPr="001B4EA4">
        <w:rPr>
          <w:rFonts w:ascii="Verdana" w:hAnsi="Verdana"/>
          <w:sz w:val="20"/>
          <w:szCs w:val="20"/>
          <w:lang w:val="pt-BR"/>
        </w:rPr>
        <w:t xml:space="preserve">o ordenamento jurídico não sejam observados. Nesses cenários, o ambiente regulatório passa a tornar morosa a tomada de decisões e sua efetiva implementação, </w:t>
      </w:r>
      <w:r w:rsidR="004A7830" w:rsidRPr="001B4EA4">
        <w:rPr>
          <w:rFonts w:ascii="Verdana" w:hAnsi="Verdana"/>
          <w:sz w:val="20"/>
          <w:szCs w:val="20"/>
          <w:lang w:val="pt-BR"/>
        </w:rPr>
        <w:t>o que acarreta</w:t>
      </w:r>
      <w:r w:rsidRPr="001B4EA4">
        <w:rPr>
          <w:rFonts w:ascii="Verdana" w:hAnsi="Verdana"/>
          <w:sz w:val="20"/>
          <w:szCs w:val="20"/>
          <w:lang w:val="pt-BR"/>
        </w:rPr>
        <w:t xml:space="preserve"> indesejáveis custos de transação. </w:t>
      </w:r>
      <w:r w:rsidR="009E485D" w:rsidRPr="001B4EA4">
        <w:rPr>
          <w:rFonts w:ascii="Verdana" w:hAnsi="Verdana"/>
          <w:sz w:val="20"/>
          <w:szCs w:val="20"/>
          <w:lang w:val="pt-BR"/>
        </w:rPr>
        <w:t>Afinal,</w:t>
      </w:r>
      <w:r w:rsidRPr="001B4EA4">
        <w:rPr>
          <w:rFonts w:ascii="Verdana" w:hAnsi="Verdana"/>
          <w:sz w:val="20"/>
          <w:szCs w:val="20"/>
          <w:lang w:val="pt-BR"/>
        </w:rPr>
        <w:t xml:space="preserve"> o ambiente influencia o comportamento dos agentes econômicos ao delinear os meios estrategicamente mais eficientes para soluções de controvérsias em setores específicos, o que altera não apenas a forma de interação entre as partes, mas a percepção quanto à exigibilidade das normas jurídicas. </w:t>
      </w:r>
    </w:p>
    <w:p w14:paraId="5C1CC01B" w14:textId="40E799DB" w:rsidR="008D5E6B" w:rsidRPr="001B4EA4" w:rsidRDefault="008D5E6B" w:rsidP="001B4EA4">
      <w:pPr>
        <w:spacing w:line="276" w:lineRule="auto"/>
        <w:ind w:firstLine="720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 xml:space="preserve">Para </w:t>
      </w:r>
      <w:r w:rsidR="004A7830" w:rsidRPr="001B4EA4">
        <w:rPr>
          <w:rFonts w:ascii="Verdana" w:hAnsi="Verdana"/>
          <w:sz w:val="20"/>
          <w:szCs w:val="20"/>
          <w:lang w:val="pt-BR"/>
        </w:rPr>
        <w:t>que se supere</w:t>
      </w:r>
      <w:r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="004A7830" w:rsidRPr="001B4EA4">
        <w:rPr>
          <w:rFonts w:ascii="Verdana" w:hAnsi="Verdana"/>
          <w:sz w:val="20"/>
          <w:szCs w:val="20"/>
          <w:lang w:val="pt-BR"/>
        </w:rPr>
        <w:t>a im</w:t>
      </w:r>
      <w:r w:rsidRPr="001B4EA4">
        <w:rPr>
          <w:rFonts w:ascii="Verdana" w:hAnsi="Verdana"/>
          <w:sz w:val="20"/>
          <w:szCs w:val="20"/>
          <w:lang w:val="pt-BR"/>
        </w:rPr>
        <w:t xml:space="preserve">previsibilidade, </w:t>
      </w:r>
      <w:r w:rsidR="004A7830" w:rsidRPr="001B4EA4">
        <w:rPr>
          <w:rFonts w:ascii="Verdana" w:hAnsi="Verdana"/>
          <w:sz w:val="20"/>
          <w:szCs w:val="20"/>
          <w:lang w:val="pt-BR"/>
        </w:rPr>
        <w:t>são recomendados</w:t>
      </w:r>
      <w:r w:rsidRPr="001B4EA4">
        <w:rPr>
          <w:rFonts w:ascii="Verdana" w:hAnsi="Verdana"/>
          <w:sz w:val="20"/>
          <w:szCs w:val="20"/>
          <w:lang w:val="pt-BR"/>
        </w:rPr>
        <w:t xml:space="preserve"> o aprimoramento da eficiência regulatória, com redução </w:t>
      </w:r>
      <w:r w:rsidR="006E738E" w:rsidRPr="001B4EA4">
        <w:rPr>
          <w:rFonts w:ascii="Verdana" w:hAnsi="Verdana"/>
          <w:sz w:val="20"/>
          <w:szCs w:val="20"/>
          <w:lang w:val="pt-BR"/>
        </w:rPr>
        <w:t>de eventuais excessos na burocracia estatal, que resulte em custos desnecessários</w:t>
      </w:r>
      <w:r w:rsidR="004A7830" w:rsidRPr="001B4EA4">
        <w:rPr>
          <w:rFonts w:ascii="Verdana" w:hAnsi="Verdana"/>
          <w:sz w:val="20"/>
          <w:szCs w:val="20"/>
          <w:lang w:val="pt-BR"/>
        </w:rPr>
        <w:t>,</w:t>
      </w:r>
      <w:r w:rsidRPr="001B4EA4">
        <w:rPr>
          <w:rFonts w:ascii="Verdana" w:hAnsi="Verdana"/>
          <w:sz w:val="20"/>
          <w:szCs w:val="20"/>
          <w:lang w:val="pt-BR"/>
        </w:rPr>
        <w:t xml:space="preserve"> e o cumprimento da regulação existente, visando a confiabilidade e</w:t>
      </w:r>
      <w:r w:rsidR="00324C46" w:rsidRPr="001B4EA4">
        <w:rPr>
          <w:rFonts w:ascii="Verdana" w:hAnsi="Verdana"/>
          <w:sz w:val="20"/>
          <w:szCs w:val="20"/>
          <w:lang w:val="pt-BR"/>
        </w:rPr>
        <w:t xml:space="preserve"> a</w:t>
      </w:r>
      <w:r w:rsidRPr="001B4EA4">
        <w:rPr>
          <w:rFonts w:ascii="Verdana" w:hAnsi="Verdana"/>
          <w:sz w:val="20"/>
          <w:szCs w:val="20"/>
          <w:lang w:val="pt-BR"/>
        </w:rPr>
        <w:t xml:space="preserve"> impessoalidade das instituições, a segurança jurídica e a eficiência na aplicação e criação d</w:t>
      </w:r>
      <w:r w:rsidR="00AD072E" w:rsidRPr="001B4EA4">
        <w:rPr>
          <w:rFonts w:ascii="Verdana" w:hAnsi="Verdana"/>
          <w:sz w:val="20"/>
          <w:szCs w:val="20"/>
          <w:lang w:val="pt-BR"/>
        </w:rPr>
        <w:t>as normas jurídicas</w:t>
      </w:r>
      <w:r w:rsidRPr="001B4EA4">
        <w:rPr>
          <w:rFonts w:ascii="Verdana" w:hAnsi="Verdana"/>
          <w:sz w:val="20"/>
          <w:szCs w:val="20"/>
          <w:lang w:val="pt-BR"/>
        </w:rPr>
        <w:t xml:space="preserve">. </w:t>
      </w:r>
    </w:p>
    <w:p w14:paraId="5602A45F" w14:textId="2C645922" w:rsidR="008D5E6B" w:rsidRPr="001B4EA4" w:rsidRDefault="008D5E6B" w:rsidP="001B4EA4">
      <w:pPr>
        <w:spacing w:line="276" w:lineRule="auto"/>
        <w:ind w:firstLine="720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 xml:space="preserve">Para além do </w:t>
      </w:r>
      <w:r w:rsidR="00736708" w:rsidRPr="001B4EA4">
        <w:rPr>
          <w:rFonts w:ascii="Verdana" w:hAnsi="Verdana"/>
          <w:sz w:val="20"/>
          <w:szCs w:val="20"/>
          <w:lang w:val="pt-BR"/>
        </w:rPr>
        <w:t>caráter amplo e ambicioso desse</w:t>
      </w:r>
      <w:r w:rsidRPr="001B4EA4">
        <w:rPr>
          <w:rFonts w:ascii="Verdana" w:hAnsi="Verdana"/>
          <w:sz w:val="20"/>
          <w:szCs w:val="20"/>
          <w:lang w:val="pt-BR"/>
        </w:rPr>
        <w:t xml:space="preserve"> aprimoramento regulatório,</w:t>
      </w:r>
      <w:r w:rsidR="00974DB6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Pr="001B4EA4">
        <w:rPr>
          <w:rFonts w:ascii="Verdana" w:hAnsi="Verdana"/>
          <w:sz w:val="20"/>
          <w:szCs w:val="20"/>
          <w:lang w:val="pt-BR"/>
        </w:rPr>
        <w:t xml:space="preserve">recomenda-se que sejam tomadas medidas de </w:t>
      </w:r>
      <w:r w:rsidR="00974DB6" w:rsidRPr="001B4EA4">
        <w:rPr>
          <w:rFonts w:ascii="Verdana" w:hAnsi="Verdana"/>
          <w:sz w:val="20"/>
          <w:szCs w:val="20"/>
          <w:lang w:val="pt-BR"/>
        </w:rPr>
        <w:t>fortalecimento d</w:t>
      </w:r>
      <w:r w:rsidRPr="001B4EA4">
        <w:rPr>
          <w:rFonts w:ascii="Verdana" w:hAnsi="Verdana"/>
          <w:sz w:val="20"/>
          <w:szCs w:val="20"/>
          <w:lang w:val="pt-BR"/>
        </w:rPr>
        <w:t xml:space="preserve">o marco contratual e regulatório, o que pode envolver nova legislação e redesenho das atividades do Poder Executivo, </w:t>
      </w:r>
      <w:r w:rsidR="00736708" w:rsidRPr="001B4EA4">
        <w:rPr>
          <w:rFonts w:ascii="Verdana" w:hAnsi="Verdana"/>
          <w:sz w:val="20"/>
          <w:szCs w:val="20"/>
          <w:lang w:val="pt-BR"/>
        </w:rPr>
        <w:t>considerando-se</w:t>
      </w:r>
      <w:r w:rsidRPr="001B4EA4">
        <w:rPr>
          <w:rFonts w:ascii="Verdana" w:hAnsi="Verdana"/>
          <w:sz w:val="20"/>
          <w:szCs w:val="20"/>
          <w:lang w:val="pt-BR"/>
        </w:rPr>
        <w:t xml:space="preserve"> quais órgãos do setor público podem </w:t>
      </w:r>
      <w:r w:rsidR="00736708" w:rsidRPr="001B4EA4">
        <w:rPr>
          <w:rFonts w:ascii="Verdana" w:hAnsi="Verdana"/>
          <w:sz w:val="20"/>
          <w:szCs w:val="20"/>
          <w:lang w:val="pt-BR"/>
        </w:rPr>
        <w:t>fazer</w:t>
      </w:r>
      <w:r w:rsidRPr="001B4EA4">
        <w:rPr>
          <w:rFonts w:ascii="Verdana" w:hAnsi="Verdana"/>
          <w:sz w:val="20"/>
          <w:szCs w:val="20"/>
          <w:lang w:val="pt-BR"/>
        </w:rPr>
        <w:t xml:space="preserve"> o monitoramento das atividades do setor privado.</w:t>
      </w:r>
    </w:p>
    <w:p w14:paraId="57531F7E" w14:textId="20BC2853" w:rsidR="006B087C" w:rsidRPr="001B4EA4" w:rsidRDefault="008D5E6B" w:rsidP="001B4EA4">
      <w:pPr>
        <w:spacing w:line="276" w:lineRule="auto"/>
        <w:ind w:firstLine="720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 xml:space="preserve">Não obstante as limitações e </w:t>
      </w:r>
      <w:r w:rsidR="00736708" w:rsidRPr="001B4EA4">
        <w:rPr>
          <w:rFonts w:ascii="Verdana" w:hAnsi="Verdana"/>
          <w:sz w:val="20"/>
          <w:szCs w:val="20"/>
          <w:lang w:val="pt-BR"/>
        </w:rPr>
        <w:t xml:space="preserve">os </w:t>
      </w:r>
      <w:r w:rsidRPr="001B4EA4">
        <w:rPr>
          <w:rFonts w:ascii="Verdana" w:hAnsi="Verdana"/>
          <w:sz w:val="20"/>
          <w:szCs w:val="20"/>
          <w:lang w:val="pt-BR"/>
        </w:rPr>
        <w:t xml:space="preserve">direitos constitucionais que devem ser observados em qualquer atividade econômica para a garantia do interesse público, o movimento regulatório proposto deve considerar os </w:t>
      </w:r>
      <w:r w:rsidR="00736708" w:rsidRPr="001B4EA4">
        <w:rPr>
          <w:rFonts w:ascii="Verdana" w:hAnsi="Verdana"/>
          <w:sz w:val="20"/>
          <w:szCs w:val="20"/>
          <w:lang w:val="pt-BR"/>
        </w:rPr>
        <w:t xml:space="preserve">eventuais </w:t>
      </w:r>
      <w:r w:rsidRPr="001B4EA4">
        <w:rPr>
          <w:rFonts w:ascii="Verdana" w:hAnsi="Verdana"/>
          <w:sz w:val="20"/>
          <w:szCs w:val="20"/>
          <w:lang w:val="pt-BR"/>
        </w:rPr>
        <w:t xml:space="preserve">efeitos adversos </w:t>
      </w:r>
      <w:r w:rsidR="00736708" w:rsidRPr="001B4EA4">
        <w:rPr>
          <w:rFonts w:ascii="Verdana" w:hAnsi="Verdana"/>
          <w:sz w:val="20"/>
          <w:szCs w:val="20"/>
          <w:lang w:val="pt-BR"/>
        </w:rPr>
        <w:t>de um</w:t>
      </w:r>
      <w:r w:rsidRPr="001B4EA4">
        <w:rPr>
          <w:rFonts w:ascii="Verdana" w:hAnsi="Verdana"/>
          <w:sz w:val="20"/>
          <w:szCs w:val="20"/>
          <w:lang w:val="pt-BR"/>
        </w:rPr>
        <w:t xml:space="preserve">a regulação excessiva. Nesse cenário, a autorregulação </w:t>
      </w:r>
      <w:r w:rsidR="007B4C67" w:rsidRPr="001B4EA4">
        <w:rPr>
          <w:rFonts w:ascii="Verdana" w:hAnsi="Verdana"/>
          <w:sz w:val="20"/>
          <w:szCs w:val="20"/>
          <w:lang w:val="pt-BR"/>
        </w:rPr>
        <w:t xml:space="preserve">pode ter </w:t>
      </w:r>
      <w:r w:rsidRPr="001B4EA4">
        <w:rPr>
          <w:rFonts w:ascii="Verdana" w:hAnsi="Verdana"/>
          <w:sz w:val="20"/>
          <w:szCs w:val="20"/>
          <w:lang w:val="pt-BR"/>
        </w:rPr>
        <w:t>também papel fundamental. É essencial a comunicação entre os diversos atores, instituições e iniciativa privada, participantes diretos ou indiretos do processo de privatização.</w:t>
      </w:r>
      <w:r w:rsidR="006B087C" w:rsidRPr="001B4EA4">
        <w:rPr>
          <w:rFonts w:ascii="Verdana" w:hAnsi="Verdana"/>
          <w:sz w:val="20"/>
          <w:szCs w:val="20"/>
          <w:lang w:val="pt-BR"/>
        </w:rPr>
        <w:br w:type="page"/>
      </w:r>
    </w:p>
    <w:p w14:paraId="38E0381C" w14:textId="290F68BC" w:rsidR="001F55B9" w:rsidRPr="00215482" w:rsidRDefault="005F67A6" w:rsidP="001B4EA4">
      <w:pPr>
        <w:pStyle w:val="Ttulo1"/>
        <w:spacing w:line="276" w:lineRule="auto"/>
        <w:jc w:val="both"/>
        <w:rPr>
          <w:rFonts w:ascii="Verdana" w:hAnsi="Verdana"/>
          <w:b/>
          <w:sz w:val="20"/>
          <w:szCs w:val="20"/>
          <w:lang w:val="pt-BR"/>
        </w:rPr>
      </w:pPr>
      <w:bookmarkStart w:id="4" w:name="_Toc20752230"/>
      <w:r w:rsidRPr="00215482">
        <w:rPr>
          <w:rFonts w:ascii="Verdana" w:hAnsi="Verdana"/>
          <w:b/>
          <w:sz w:val="20"/>
          <w:szCs w:val="20"/>
          <w:lang w:val="pt-BR"/>
        </w:rPr>
        <w:t>O p</w:t>
      </w:r>
      <w:r w:rsidR="00995F63" w:rsidRPr="00215482">
        <w:rPr>
          <w:rFonts w:ascii="Verdana" w:hAnsi="Verdana"/>
          <w:b/>
          <w:sz w:val="20"/>
          <w:szCs w:val="20"/>
          <w:lang w:val="pt-BR"/>
        </w:rPr>
        <w:t>rocesso de privatização</w:t>
      </w:r>
      <w:bookmarkEnd w:id="0"/>
      <w:bookmarkEnd w:id="4"/>
    </w:p>
    <w:p w14:paraId="49308837" w14:textId="77777777" w:rsidR="00B77231" w:rsidRPr="001B4EA4" w:rsidRDefault="00B77231" w:rsidP="001B4EA4">
      <w:pPr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</w:p>
    <w:p w14:paraId="6755D7D4" w14:textId="1F3FCD09" w:rsidR="00AD7773" w:rsidRPr="001B4EA4" w:rsidRDefault="00AD7773" w:rsidP="001B4EA4">
      <w:pPr>
        <w:spacing w:line="276" w:lineRule="auto"/>
        <w:ind w:firstLine="708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>A apresentação das melhores práticas a serem seguidas ao longo de um processo de privatização será subdividida e analisada em três momentos distintos: antes, durant</w:t>
      </w:r>
      <w:r w:rsidR="00736708" w:rsidRPr="001B4EA4">
        <w:rPr>
          <w:rFonts w:ascii="Verdana" w:hAnsi="Verdana"/>
          <w:sz w:val="20"/>
          <w:szCs w:val="20"/>
          <w:lang w:val="pt-BR"/>
        </w:rPr>
        <w:t>e e depois</w:t>
      </w:r>
      <w:r w:rsidRPr="001B4EA4">
        <w:rPr>
          <w:rFonts w:ascii="Verdana" w:hAnsi="Verdana"/>
          <w:sz w:val="20"/>
          <w:szCs w:val="20"/>
          <w:lang w:val="pt-BR"/>
        </w:rPr>
        <w:t>.</w:t>
      </w:r>
      <w:r w:rsidR="00736708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="003A43DA">
        <w:rPr>
          <w:rFonts w:ascii="Verdana" w:hAnsi="Verdana"/>
          <w:sz w:val="20"/>
          <w:szCs w:val="20"/>
          <w:lang w:val="pt-BR"/>
        </w:rPr>
        <w:t xml:space="preserve">Nesses três </w:t>
      </w:r>
      <w:r w:rsidR="00736708" w:rsidRPr="001B4EA4">
        <w:rPr>
          <w:rFonts w:ascii="Verdana" w:hAnsi="Verdana"/>
          <w:sz w:val="20"/>
          <w:szCs w:val="20"/>
          <w:lang w:val="pt-BR"/>
        </w:rPr>
        <w:t>pontos</w:t>
      </w:r>
      <w:r w:rsidR="003A43DA">
        <w:rPr>
          <w:rFonts w:ascii="Verdana" w:hAnsi="Verdana"/>
          <w:sz w:val="20"/>
          <w:szCs w:val="20"/>
          <w:lang w:val="pt-BR"/>
        </w:rPr>
        <w:t>,</w:t>
      </w:r>
      <w:r w:rsidRPr="001B4EA4">
        <w:rPr>
          <w:rFonts w:ascii="Verdana" w:hAnsi="Verdana"/>
          <w:sz w:val="20"/>
          <w:szCs w:val="20"/>
          <w:lang w:val="pt-BR"/>
        </w:rPr>
        <w:t xml:space="preserve"> identificam-se os principais agentes interessados, suas possibilidades </w:t>
      </w:r>
      <w:r w:rsidR="00736708" w:rsidRPr="001B4EA4">
        <w:rPr>
          <w:rFonts w:ascii="Verdana" w:hAnsi="Verdana"/>
          <w:sz w:val="20"/>
          <w:szCs w:val="20"/>
          <w:lang w:val="pt-BR"/>
        </w:rPr>
        <w:t xml:space="preserve">de atuação e a maneira como cada um deles </w:t>
      </w:r>
      <w:r w:rsidRPr="001B4EA4">
        <w:rPr>
          <w:rFonts w:ascii="Verdana" w:hAnsi="Verdana"/>
          <w:sz w:val="20"/>
          <w:szCs w:val="20"/>
          <w:lang w:val="pt-BR"/>
        </w:rPr>
        <w:t xml:space="preserve">pode contribuir para a transparência, </w:t>
      </w:r>
      <w:r w:rsidR="00736708" w:rsidRPr="001B4EA4">
        <w:rPr>
          <w:rFonts w:ascii="Verdana" w:hAnsi="Verdana"/>
          <w:sz w:val="20"/>
          <w:szCs w:val="20"/>
          <w:lang w:val="pt-BR"/>
        </w:rPr>
        <w:t xml:space="preserve">a </w:t>
      </w:r>
      <w:r w:rsidRPr="001B4EA4">
        <w:rPr>
          <w:rFonts w:ascii="Verdana" w:hAnsi="Verdana"/>
          <w:sz w:val="20"/>
          <w:szCs w:val="20"/>
          <w:lang w:val="pt-BR"/>
        </w:rPr>
        <w:t xml:space="preserve">eficiência e o bom andamento do processo. </w:t>
      </w:r>
    </w:p>
    <w:p w14:paraId="718FE97C" w14:textId="57D47FEF" w:rsidR="00A031ED" w:rsidRPr="001B4EA4" w:rsidRDefault="00AD7773" w:rsidP="001B4EA4">
      <w:pPr>
        <w:spacing w:line="276" w:lineRule="auto"/>
        <w:ind w:firstLine="708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 xml:space="preserve">Por meio do encadeamento </w:t>
      </w:r>
      <w:r w:rsidR="00405C42" w:rsidRPr="001B4EA4">
        <w:rPr>
          <w:rFonts w:ascii="Verdana" w:hAnsi="Verdana"/>
          <w:sz w:val="20"/>
          <w:szCs w:val="20"/>
          <w:lang w:val="pt-BR"/>
        </w:rPr>
        <w:t>das</w:t>
      </w:r>
      <w:r w:rsidRPr="001B4EA4">
        <w:rPr>
          <w:rFonts w:ascii="Verdana" w:hAnsi="Verdana"/>
          <w:sz w:val="20"/>
          <w:szCs w:val="20"/>
          <w:lang w:val="pt-BR"/>
        </w:rPr>
        <w:t xml:space="preserve"> condutas</w:t>
      </w:r>
      <w:r w:rsidR="00405C42" w:rsidRPr="001B4EA4">
        <w:rPr>
          <w:rFonts w:ascii="Verdana" w:hAnsi="Verdana"/>
          <w:sz w:val="20"/>
          <w:szCs w:val="20"/>
          <w:lang w:val="pt-BR"/>
        </w:rPr>
        <w:t xml:space="preserve"> práticas propostas, é possível que tanto o planejamento quanto a execução e o monitoramento da transação sejam </w:t>
      </w:r>
      <w:r w:rsidR="00736708" w:rsidRPr="001B4EA4">
        <w:rPr>
          <w:rFonts w:ascii="Verdana" w:hAnsi="Verdana"/>
          <w:sz w:val="20"/>
          <w:szCs w:val="20"/>
          <w:lang w:val="pt-BR"/>
        </w:rPr>
        <w:t>feitos</w:t>
      </w:r>
      <w:r w:rsidR="00405C42" w:rsidRPr="001B4EA4">
        <w:rPr>
          <w:rFonts w:ascii="Verdana" w:hAnsi="Verdana"/>
          <w:sz w:val="20"/>
          <w:szCs w:val="20"/>
          <w:lang w:val="pt-BR"/>
        </w:rPr>
        <w:t xml:space="preserve"> com base em princípios orientadores que buscam garantir integridade institucional, regulatória e de governança</w:t>
      </w:r>
      <w:r w:rsidR="00AE7A10" w:rsidRPr="001B4EA4">
        <w:rPr>
          <w:rFonts w:ascii="Verdana" w:hAnsi="Verdana"/>
          <w:sz w:val="20"/>
          <w:szCs w:val="20"/>
          <w:lang w:val="pt-BR"/>
        </w:rPr>
        <w:t>. O enfrentamento des</w:t>
      </w:r>
      <w:r w:rsidR="00736708" w:rsidRPr="001B4EA4">
        <w:rPr>
          <w:rFonts w:ascii="Verdana" w:hAnsi="Verdana"/>
          <w:sz w:val="20"/>
          <w:szCs w:val="20"/>
          <w:lang w:val="pt-BR"/>
        </w:rPr>
        <w:t>s</w:t>
      </w:r>
      <w:r w:rsidR="009E485D" w:rsidRPr="001B4EA4">
        <w:rPr>
          <w:rFonts w:ascii="Verdana" w:hAnsi="Verdana"/>
          <w:sz w:val="20"/>
          <w:szCs w:val="20"/>
          <w:lang w:val="pt-BR"/>
        </w:rPr>
        <w:t>es p</w:t>
      </w:r>
      <w:r w:rsidR="00AE7A10" w:rsidRPr="001B4EA4">
        <w:rPr>
          <w:rFonts w:ascii="Verdana" w:hAnsi="Verdana"/>
          <w:sz w:val="20"/>
          <w:szCs w:val="20"/>
          <w:lang w:val="pt-BR"/>
        </w:rPr>
        <w:t>ontos críticos também c</w:t>
      </w:r>
      <w:r w:rsidR="00B51DB3" w:rsidRPr="001B4EA4">
        <w:rPr>
          <w:rFonts w:ascii="Verdana" w:hAnsi="Verdana"/>
          <w:sz w:val="20"/>
          <w:szCs w:val="20"/>
          <w:lang w:val="pt-BR"/>
        </w:rPr>
        <w:t>ontribui</w:t>
      </w:r>
      <w:r w:rsidR="0049772A" w:rsidRPr="001B4EA4">
        <w:rPr>
          <w:rFonts w:ascii="Verdana" w:hAnsi="Verdana"/>
          <w:sz w:val="20"/>
          <w:szCs w:val="20"/>
          <w:lang w:val="pt-BR"/>
        </w:rPr>
        <w:t xml:space="preserve"> positivamente</w:t>
      </w:r>
      <w:r w:rsidR="00B51DB3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="00AE7A10" w:rsidRPr="001B4EA4">
        <w:rPr>
          <w:rFonts w:ascii="Verdana" w:hAnsi="Verdana"/>
          <w:sz w:val="20"/>
          <w:szCs w:val="20"/>
          <w:lang w:val="pt-BR"/>
        </w:rPr>
        <w:t xml:space="preserve">para </w:t>
      </w:r>
      <w:r w:rsidR="00736708" w:rsidRPr="001B4EA4">
        <w:rPr>
          <w:rFonts w:ascii="Verdana" w:hAnsi="Verdana"/>
          <w:sz w:val="20"/>
          <w:szCs w:val="20"/>
          <w:lang w:val="pt-BR"/>
        </w:rPr>
        <w:t>a obtenção d</w:t>
      </w:r>
      <w:r w:rsidR="00AE7A10" w:rsidRPr="001B4EA4">
        <w:rPr>
          <w:rFonts w:ascii="Verdana" w:hAnsi="Verdana"/>
          <w:sz w:val="20"/>
          <w:szCs w:val="20"/>
          <w:lang w:val="pt-BR"/>
        </w:rPr>
        <w:t>a</w:t>
      </w:r>
      <w:r w:rsidR="00405C42" w:rsidRPr="001B4EA4">
        <w:rPr>
          <w:rFonts w:ascii="Verdana" w:hAnsi="Verdana"/>
          <w:sz w:val="20"/>
          <w:szCs w:val="20"/>
          <w:lang w:val="pt-BR"/>
        </w:rPr>
        <w:t xml:space="preserve"> confia</w:t>
      </w:r>
      <w:r w:rsidR="0049772A" w:rsidRPr="001B4EA4">
        <w:rPr>
          <w:rFonts w:ascii="Verdana" w:hAnsi="Verdana"/>
          <w:sz w:val="20"/>
          <w:szCs w:val="20"/>
          <w:lang w:val="pt-BR"/>
        </w:rPr>
        <w:t>nça</w:t>
      </w:r>
      <w:r w:rsidR="00405C42" w:rsidRPr="001B4EA4">
        <w:rPr>
          <w:rFonts w:ascii="Verdana" w:hAnsi="Verdana"/>
          <w:sz w:val="20"/>
          <w:szCs w:val="20"/>
          <w:lang w:val="pt-BR"/>
        </w:rPr>
        <w:t xml:space="preserve"> do público, dos investidores e do governo </w:t>
      </w:r>
      <w:r w:rsidR="00736708" w:rsidRPr="001B4EA4">
        <w:rPr>
          <w:rFonts w:ascii="Verdana" w:hAnsi="Verdana"/>
          <w:sz w:val="20"/>
          <w:szCs w:val="20"/>
          <w:lang w:val="pt-BR"/>
        </w:rPr>
        <w:t>em relação à</w:t>
      </w:r>
      <w:r w:rsidR="00405C42" w:rsidRPr="001B4EA4">
        <w:rPr>
          <w:rFonts w:ascii="Verdana" w:hAnsi="Verdana"/>
          <w:sz w:val="20"/>
          <w:szCs w:val="20"/>
          <w:lang w:val="pt-BR"/>
        </w:rPr>
        <w:t xml:space="preserve"> experiência. </w:t>
      </w:r>
    </w:p>
    <w:p w14:paraId="43F08816" w14:textId="066D8465" w:rsidR="00DE6CF4" w:rsidRPr="001B4EA4" w:rsidRDefault="00C1447C" w:rsidP="001B4EA4">
      <w:pPr>
        <w:spacing w:line="276" w:lineRule="auto"/>
        <w:ind w:firstLine="708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noProof/>
          <w:sz w:val="20"/>
          <w:szCs w:val="20"/>
          <w:lang w:val="pt-BR" w:eastAsia="pt-BR"/>
        </w:rPr>
        <w:drawing>
          <wp:inline distT="0" distB="0" distL="0" distR="0" wp14:anchorId="327CCFDD" wp14:editId="290FF0BD">
            <wp:extent cx="5400040" cy="3096938"/>
            <wp:effectExtent l="0" t="0" r="0" b="27305"/>
            <wp:docPr id="4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445EC247" w14:textId="2E0F43B8" w:rsidR="00A23B07" w:rsidRPr="00215482" w:rsidRDefault="005D396D" w:rsidP="001B4EA4">
      <w:pPr>
        <w:pStyle w:val="Ttulo2"/>
        <w:numPr>
          <w:ilvl w:val="1"/>
          <w:numId w:val="13"/>
        </w:numPr>
        <w:spacing w:line="276" w:lineRule="auto"/>
        <w:contextualSpacing/>
        <w:jc w:val="both"/>
        <w:rPr>
          <w:rFonts w:ascii="Verdana" w:hAnsi="Verdana"/>
          <w:b/>
          <w:sz w:val="20"/>
          <w:szCs w:val="20"/>
          <w:lang w:val="pt-BR"/>
        </w:rPr>
      </w:pPr>
      <w:bookmarkStart w:id="5" w:name="_Toc9262637"/>
      <w:bookmarkStart w:id="6" w:name="_Toc20752231"/>
      <w:r w:rsidRPr="00215482">
        <w:rPr>
          <w:rFonts w:ascii="Verdana" w:hAnsi="Verdana"/>
          <w:b/>
          <w:sz w:val="20"/>
          <w:szCs w:val="20"/>
          <w:lang w:val="pt-BR"/>
        </w:rPr>
        <w:t>Antes</w:t>
      </w:r>
      <w:bookmarkEnd w:id="5"/>
      <w:r w:rsidR="00B77231" w:rsidRPr="00215482">
        <w:rPr>
          <w:rFonts w:ascii="Verdana" w:hAnsi="Verdana"/>
          <w:b/>
          <w:sz w:val="20"/>
          <w:szCs w:val="20"/>
          <w:lang w:val="pt-BR"/>
        </w:rPr>
        <w:t xml:space="preserve"> da transação</w:t>
      </w:r>
      <w:bookmarkEnd w:id="6"/>
    </w:p>
    <w:p w14:paraId="58BC6225" w14:textId="77777777" w:rsidR="00C1447C" w:rsidRPr="00215482" w:rsidRDefault="00C1447C" w:rsidP="001B4EA4">
      <w:pPr>
        <w:spacing w:line="276" w:lineRule="auto"/>
        <w:jc w:val="both"/>
        <w:rPr>
          <w:rFonts w:ascii="Verdana" w:hAnsi="Verdana"/>
          <w:b/>
          <w:sz w:val="20"/>
          <w:szCs w:val="20"/>
          <w:lang w:val="pt-BR"/>
        </w:rPr>
      </w:pPr>
    </w:p>
    <w:p w14:paraId="508E3704" w14:textId="2657941F" w:rsidR="00F24F4A" w:rsidRPr="00215482" w:rsidRDefault="008F2CBB" w:rsidP="001B4EA4">
      <w:pPr>
        <w:pStyle w:val="Ttulo3"/>
        <w:spacing w:line="276" w:lineRule="auto"/>
        <w:jc w:val="both"/>
        <w:rPr>
          <w:rFonts w:ascii="Verdana" w:hAnsi="Verdana"/>
          <w:b/>
          <w:sz w:val="20"/>
          <w:szCs w:val="20"/>
          <w:lang w:val="pt-BR"/>
        </w:rPr>
      </w:pPr>
      <w:bookmarkStart w:id="7" w:name="_Toc9262638"/>
      <w:bookmarkStart w:id="8" w:name="_Ref14686640"/>
      <w:bookmarkStart w:id="9" w:name="_Ref14800206"/>
      <w:bookmarkStart w:id="10" w:name="_Toc20752232"/>
      <w:r w:rsidRPr="00215482">
        <w:rPr>
          <w:rFonts w:ascii="Verdana" w:hAnsi="Verdana"/>
          <w:b/>
          <w:sz w:val="20"/>
          <w:szCs w:val="20"/>
          <w:lang w:val="pt-BR"/>
        </w:rPr>
        <w:t xml:space="preserve">1.1 </w:t>
      </w:r>
      <w:r w:rsidR="0097758F" w:rsidRPr="00215482">
        <w:rPr>
          <w:rFonts w:ascii="Verdana" w:hAnsi="Verdana"/>
          <w:b/>
          <w:sz w:val="20"/>
          <w:szCs w:val="20"/>
          <w:lang w:val="pt-BR"/>
        </w:rPr>
        <w:t>Tomada da decisão de privatização</w:t>
      </w:r>
      <w:bookmarkEnd w:id="7"/>
      <w:bookmarkEnd w:id="8"/>
      <w:bookmarkEnd w:id="9"/>
      <w:bookmarkEnd w:id="10"/>
    </w:p>
    <w:p w14:paraId="4AA277A9" w14:textId="77777777" w:rsidR="00B77231" w:rsidRPr="001B4EA4" w:rsidRDefault="00B77231" w:rsidP="001B4EA4">
      <w:pPr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</w:p>
    <w:p w14:paraId="7AE16A05" w14:textId="61EFFEBE" w:rsidR="008C7254" w:rsidRPr="001B4EA4" w:rsidRDefault="009A1667" w:rsidP="001B4EA4">
      <w:pPr>
        <w:spacing w:line="276" w:lineRule="auto"/>
        <w:ind w:firstLine="708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>Diversas</w:t>
      </w:r>
      <w:r w:rsidR="008C7254" w:rsidRPr="001B4EA4">
        <w:rPr>
          <w:rFonts w:ascii="Verdana" w:hAnsi="Verdana"/>
          <w:sz w:val="20"/>
          <w:szCs w:val="20"/>
          <w:lang w:val="pt-BR"/>
        </w:rPr>
        <w:t xml:space="preserve"> estatais têm </w:t>
      </w:r>
      <w:r w:rsidR="00D13C15" w:rsidRPr="001B4EA4">
        <w:rPr>
          <w:rFonts w:ascii="Verdana" w:hAnsi="Verdana"/>
          <w:sz w:val="20"/>
          <w:szCs w:val="20"/>
          <w:lang w:val="pt-BR"/>
        </w:rPr>
        <w:t xml:space="preserve">em sua gestão a importante característica </w:t>
      </w:r>
      <w:r w:rsidR="009E485D" w:rsidRPr="001B4EA4">
        <w:rPr>
          <w:rFonts w:ascii="Verdana" w:hAnsi="Verdana"/>
          <w:sz w:val="20"/>
          <w:szCs w:val="20"/>
          <w:lang w:val="pt-BR"/>
        </w:rPr>
        <w:t>de atender e manter</w:t>
      </w:r>
      <w:r w:rsidR="008C7254" w:rsidRPr="001B4EA4">
        <w:rPr>
          <w:rFonts w:ascii="Verdana" w:hAnsi="Verdana"/>
          <w:sz w:val="20"/>
          <w:szCs w:val="20"/>
          <w:lang w:val="pt-BR"/>
        </w:rPr>
        <w:t xml:space="preserve"> objetivos sociais. Es</w:t>
      </w:r>
      <w:r w:rsidR="00736708" w:rsidRPr="001B4EA4">
        <w:rPr>
          <w:rFonts w:ascii="Verdana" w:hAnsi="Verdana"/>
          <w:sz w:val="20"/>
          <w:szCs w:val="20"/>
          <w:lang w:val="pt-BR"/>
        </w:rPr>
        <w:t>s</w:t>
      </w:r>
      <w:r w:rsidR="008C7254" w:rsidRPr="001B4EA4">
        <w:rPr>
          <w:rFonts w:ascii="Verdana" w:hAnsi="Verdana"/>
          <w:sz w:val="20"/>
          <w:szCs w:val="20"/>
          <w:lang w:val="pt-BR"/>
        </w:rPr>
        <w:t xml:space="preserve">es objetivos sociais decorrem do desempenho de atividades com feição de bens públicos, como infraestrutura de saneamento para </w:t>
      </w:r>
      <w:r w:rsidR="009E485D" w:rsidRPr="001B4EA4">
        <w:rPr>
          <w:rFonts w:ascii="Verdana" w:hAnsi="Verdana"/>
          <w:sz w:val="20"/>
          <w:szCs w:val="20"/>
          <w:lang w:val="pt-BR"/>
        </w:rPr>
        <w:t xml:space="preserve">populações de </w:t>
      </w:r>
      <w:r w:rsidR="008C7254" w:rsidRPr="001B4EA4">
        <w:rPr>
          <w:rFonts w:ascii="Verdana" w:hAnsi="Verdana"/>
          <w:sz w:val="20"/>
          <w:szCs w:val="20"/>
          <w:lang w:val="pt-BR"/>
        </w:rPr>
        <w:t xml:space="preserve">baixa renda, </w:t>
      </w:r>
      <w:r w:rsidR="008C7254" w:rsidRPr="007135F8">
        <w:rPr>
          <w:rFonts w:ascii="Verdana" w:hAnsi="Verdana"/>
          <w:sz w:val="20"/>
          <w:szCs w:val="20"/>
          <w:lang w:val="pt-BR"/>
        </w:rPr>
        <w:t>ou com externalidades positivas</w:t>
      </w:r>
      <w:r w:rsidR="0075481C">
        <w:rPr>
          <w:rStyle w:val="Refdenotaderodap"/>
          <w:rFonts w:ascii="Verdana" w:hAnsi="Verdana"/>
          <w:sz w:val="20"/>
          <w:szCs w:val="20"/>
          <w:lang w:val="pt-BR"/>
        </w:rPr>
        <w:footnoteReference w:id="4"/>
      </w:r>
      <w:r w:rsidR="008C7254" w:rsidRPr="007135F8">
        <w:rPr>
          <w:rFonts w:ascii="Verdana" w:hAnsi="Verdana"/>
          <w:sz w:val="20"/>
          <w:szCs w:val="20"/>
          <w:lang w:val="pt-BR"/>
        </w:rPr>
        <w:t xml:space="preserve"> relevantes, como investimentos em inovação, por exemplo.</w:t>
      </w:r>
      <w:r w:rsidR="008C7254" w:rsidRPr="001B4EA4">
        <w:rPr>
          <w:rFonts w:ascii="Verdana" w:hAnsi="Verdana"/>
          <w:sz w:val="20"/>
          <w:szCs w:val="20"/>
          <w:lang w:val="pt-BR"/>
        </w:rPr>
        <w:t xml:space="preserve"> </w:t>
      </w:r>
    </w:p>
    <w:p w14:paraId="03C3CF3F" w14:textId="58749E95" w:rsidR="00CC396C" w:rsidRPr="001B4EA4" w:rsidRDefault="008C7254" w:rsidP="001B4EA4">
      <w:pPr>
        <w:spacing w:line="276" w:lineRule="auto"/>
        <w:ind w:firstLine="708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>Discussões sobre privatização devem considerar que,</w:t>
      </w:r>
      <w:r w:rsidR="00382478" w:rsidRPr="001B4EA4">
        <w:rPr>
          <w:rFonts w:ascii="Verdana" w:hAnsi="Verdana"/>
          <w:sz w:val="20"/>
          <w:szCs w:val="20"/>
          <w:lang w:val="pt-BR"/>
        </w:rPr>
        <w:t xml:space="preserve"> enquanto a venda da estatal </w:t>
      </w:r>
      <w:r w:rsidR="00881FF5" w:rsidRPr="001B4EA4">
        <w:rPr>
          <w:rFonts w:ascii="Verdana" w:hAnsi="Verdana"/>
          <w:sz w:val="20"/>
          <w:szCs w:val="20"/>
          <w:lang w:val="pt-BR"/>
        </w:rPr>
        <w:t>busca</w:t>
      </w:r>
      <w:r w:rsidR="00382478" w:rsidRPr="001B4EA4">
        <w:rPr>
          <w:rFonts w:ascii="Verdana" w:hAnsi="Verdana"/>
          <w:sz w:val="20"/>
          <w:szCs w:val="20"/>
          <w:lang w:val="pt-BR"/>
        </w:rPr>
        <w:t xml:space="preserve"> aumentar a eficiência </w:t>
      </w:r>
      <w:r w:rsidR="00BD625D" w:rsidRPr="001B4EA4">
        <w:rPr>
          <w:rFonts w:ascii="Verdana" w:hAnsi="Verdana"/>
          <w:sz w:val="20"/>
          <w:szCs w:val="20"/>
          <w:lang w:val="pt-BR"/>
        </w:rPr>
        <w:t>n</w:t>
      </w:r>
      <w:r w:rsidR="00382478" w:rsidRPr="001B4EA4">
        <w:rPr>
          <w:rFonts w:ascii="Verdana" w:hAnsi="Verdana"/>
          <w:sz w:val="20"/>
          <w:szCs w:val="20"/>
          <w:lang w:val="pt-BR"/>
        </w:rPr>
        <w:t xml:space="preserve">a alocação de recursos públicos e a </w:t>
      </w:r>
      <w:r w:rsidR="00BD625D" w:rsidRPr="001B4EA4">
        <w:rPr>
          <w:rFonts w:ascii="Verdana" w:hAnsi="Verdana"/>
          <w:sz w:val="20"/>
          <w:szCs w:val="20"/>
          <w:lang w:val="pt-BR"/>
        </w:rPr>
        <w:t xml:space="preserve">qualidade na </w:t>
      </w:r>
      <w:r w:rsidR="00736708" w:rsidRPr="001B4EA4">
        <w:rPr>
          <w:rFonts w:ascii="Verdana" w:hAnsi="Verdana"/>
          <w:sz w:val="20"/>
          <w:szCs w:val="20"/>
          <w:lang w:val="pt-BR"/>
        </w:rPr>
        <w:t>entrega do serviço</w:t>
      </w:r>
      <w:r w:rsidR="00382478" w:rsidRPr="001B4EA4">
        <w:rPr>
          <w:rFonts w:ascii="Verdana" w:hAnsi="Verdana"/>
          <w:sz w:val="20"/>
          <w:szCs w:val="20"/>
          <w:lang w:val="pt-BR"/>
        </w:rPr>
        <w:t>,</w:t>
      </w:r>
      <w:r w:rsidRPr="001B4EA4">
        <w:rPr>
          <w:rFonts w:ascii="Verdana" w:hAnsi="Verdana"/>
          <w:sz w:val="20"/>
          <w:szCs w:val="20"/>
          <w:lang w:val="pt-BR"/>
        </w:rPr>
        <w:t xml:space="preserve"> na passagem do controle </w:t>
      </w:r>
      <w:r w:rsidR="00736708" w:rsidRPr="001B4EA4">
        <w:rPr>
          <w:rFonts w:ascii="Verdana" w:hAnsi="Verdana"/>
          <w:sz w:val="20"/>
          <w:szCs w:val="20"/>
          <w:lang w:val="pt-BR"/>
        </w:rPr>
        <w:t>público para o controle privado</w:t>
      </w:r>
      <w:r w:rsidR="0075481C">
        <w:rPr>
          <w:rFonts w:ascii="Verdana" w:hAnsi="Verdana"/>
          <w:sz w:val="20"/>
          <w:szCs w:val="20"/>
          <w:lang w:val="pt-BR"/>
        </w:rPr>
        <w:t xml:space="preserve"> podem ocorrer externalidades negativas, assim como</w:t>
      </w:r>
      <w:r w:rsidRPr="001B4EA4">
        <w:rPr>
          <w:rFonts w:ascii="Verdana" w:hAnsi="Verdana"/>
          <w:sz w:val="20"/>
          <w:szCs w:val="20"/>
          <w:lang w:val="pt-BR"/>
        </w:rPr>
        <w:t xml:space="preserve"> os adquirentes das estatais podem não ter incentivos adequados para </w:t>
      </w:r>
      <w:r w:rsidR="00736708" w:rsidRPr="001B4EA4">
        <w:rPr>
          <w:rFonts w:ascii="Verdana" w:hAnsi="Verdana"/>
          <w:sz w:val="20"/>
          <w:szCs w:val="20"/>
          <w:lang w:val="pt-BR"/>
        </w:rPr>
        <w:t>atingir</w:t>
      </w:r>
      <w:r w:rsidRPr="001B4EA4">
        <w:rPr>
          <w:rFonts w:ascii="Verdana" w:hAnsi="Verdana"/>
          <w:sz w:val="20"/>
          <w:szCs w:val="20"/>
          <w:lang w:val="pt-BR"/>
        </w:rPr>
        <w:t xml:space="preserve"> objetivos sociais definidos por lei ou por políticas públicas.</w:t>
      </w:r>
      <w:r w:rsidR="00F1572A" w:rsidRPr="001B4EA4">
        <w:rPr>
          <w:rFonts w:ascii="Verdana" w:hAnsi="Verdana"/>
          <w:sz w:val="20"/>
          <w:szCs w:val="20"/>
          <w:lang w:val="pt-BR"/>
        </w:rPr>
        <w:t xml:space="preserve"> Isso porque</w:t>
      </w:r>
      <w:r w:rsidR="006C4121">
        <w:rPr>
          <w:rFonts w:ascii="Verdana" w:hAnsi="Verdana"/>
          <w:sz w:val="20"/>
          <w:szCs w:val="20"/>
          <w:lang w:val="pt-BR"/>
        </w:rPr>
        <w:t xml:space="preserve"> as atividades requeridas podem não ser totalmente rentáveis e</w:t>
      </w:r>
      <w:r w:rsidR="00F1572A" w:rsidRPr="001B4EA4">
        <w:rPr>
          <w:rFonts w:ascii="Verdana" w:hAnsi="Verdana"/>
          <w:sz w:val="20"/>
          <w:szCs w:val="20"/>
          <w:lang w:val="pt-BR"/>
        </w:rPr>
        <w:t xml:space="preserve"> os incentivos dos gestores privados vão no sentido da maximização de lucros.</w:t>
      </w:r>
    </w:p>
    <w:p w14:paraId="29089E02" w14:textId="77777777" w:rsidR="00B77231" w:rsidRPr="001B4EA4" w:rsidRDefault="00B77231" w:rsidP="001B4EA4">
      <w:pPr>
        <w:spacing w:line="276" w:lineRule="auto"/>
        <w:ind w:firstLine="708"/>
        <w:jc w:val="both"/>
        <w:rPr>
          <w:rFonts w:ascii="Verdana" w:hAnsi="Verdana"/>
          <w:sz w:val="20"/>
          <w:szCs w:val="20"/>
          <w:lang w:val="pt-BR"/>
        </w:rPr>
      </w:pPr>
    </w:p>
    <w:tbl>
      <w:tblPr>
        <w:tblStyle w:val="TabeladeLista3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A053A" w:rsidRPr="001B4EA4" w14:paraId="289D34C7" w14:textId="77777777" w:rsidTr="002154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9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tcBorders>
              <w:right w:val="single" w:sz="4" w:space="0" w:color="000000"/>
            </w:tcBorders>
            <w:vAlign w:val="center"/>
          </w:tcPr>
          <w:p w14:paraId="14B2C0DA" w14:textId="7C2F2998" w:rsidR="007A053A" w:rsidRPr="001B4EA4" w:rsidRDefault="007A053A" w:rsidP="001B4EA4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pt-BR"/>
              </w:rPr>
            </w:pPr>
            <w:r w:rsidRPr="001B4EA4">
              <w:rPr>
                <w:rFonts w:ascii="Verdana" w:hAnsi="Verdana"/>
                <w:sz w:val="20"/>
                <w:szCs w:val="20"/>
                <w:lang w:val="pt-BR"/>
              </w:rPr>
              <w:t>Recomendaç</w:t>
            </w:r>
            <w:r w:rsidR="00492EE9" w:rsidRPr="001B4EA4">
              <w:rPr>
                <w:rFonts w:ascii="Verdana" w:hAnsi="Verdana"/>
                <w:sz w:val="20"/>
                <w:szCs w:val="20"/>
                <w:lang w:val="pt-BR"/>
              </w:rPr>
              <w:t>ões</w:t>
            </w:r>
          </w:p>
        </w:tc>
      </w:tr>
      <w:tr w:rsidR="007A053A" w:rsidRPr="006F538F" w14:paraId="0A4EA3AC" w14:textId="77777777" w:rsidTr="002154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000000"/>
            </w:tcBorders>
            <w:vAlign w:val="center"/>
          </w:tcPr>
          <w:p w14:paraId="31FE7802" w14:textId="675A69B2" w:rsidR="007A053A" w:rsidRPr="00157AE3" w:rsidRDefault="007A053A" w:rsidP="001B4EA4">
            <w:pPr>
              <w:spacing w:line="276" w:lineRule="auto"/>
              <w:jc w:val="both"/>
              <w:rPr>
                <w:rFonts w:ascii="Verdana" w:hAnsi="Verdana"/>
                <w:b w:val="0"/>
                <w:sz w:val="20"/>
                <w:szCs w:val="20"/>
                <w:lang w:val="pt-BR"/>
              </w:rPr>
            </w:pPr>
            <w:r w:rsidRPr="00157AE3">
              <w:rPr>
                <w:rFonts w:ascii="Verdana" w:hAnsi="Verdana"/>
                <w:b w:val="0"/>
                <w:sz w:val="20"/>
                <w:szCs w:val="20"/>
                <w:lang w:val="pt-BR"/>
              </w:rPr>
              <w:t>O equilíbrio entre ganho de eficiência e busca de objetivos sociais deve ser criteriosamente analisado na tomada de decisão de privatização.</w:t>
            </w:r>
          </w:p>
        </w:tc>
      </w:tr>
      <w:tr w:rsidR="00492EE9" w:rsidRPr="006F538F" w14:paraId="19BC183A" w14:textId="77777777" w:rsidTr="0021548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000000"/>
            </w:tcBorders>
            <w:shd w:val="clear" w:color="auto" w:fill="000000" w:themeFill="text1"/>
            <w:vAlign w:val="center"/>
          </w:tcPr>
          <w:p w14:paraId="2607F12D" w14:textId="77777777" w:rsidR="00492EE9" w:rsidRPr="00157AE3" w:rsidRDefault="00492EE9" w:rsidP="001B4EA4">
            <w:pPr>
              <w:spacing w:line="276" w:lineRule="auto"/>
              <w:jc w:val="both"/>
              <w:rPr>
                <w:rFonts w:ascii="Verdana" w:hAnsi="Verdana"/>
                <w:b w:val="0"/>
                <w:sz w:val="20"/>
                <w:szCs w:val="20"/>
                <w:lang w:val="pt-BR"/>
              </w:rPr>
            </w:pPr>
          </w:p>
        </w:tc>
      </w:tr>
      <w:tr w:rsidR="00492EE9" w:rsidRPr="006F538F" w14:paraId="65155118" w14:textId="77777777" w:rsidTr="002154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000000"/>
            </w:tcBorders>
            <w:vAlign w:val="center"/>
          </w:tcPr>
          <w:p w14:paraId="2C44C3B9" w14:textId="07445209" w:rsidR="00492EE9" w:rsidRPr="00157AE3" w:rsidRDefault="00BF0ACC" w:rsidP="001B4EA4">
            <w:pPr>
              <w:spacing w:line="276" w:lineRule="auto"/>
              <w:jc w:val="both"/>
              <w:rPr>
                <w:rFonts w:ascii="Verdana" w:hAnsi="Verdana"/>
                <w:b w:val="0"/>
                <w:sz w:val="20"/>
                <w:szCs w:val="20"/>
                <w:lang w:val="pt-BR"/>
              </w:rPr>
            </w:pPr>
            <w:r w:rsidRPr="00157AE3">
              <w:rPr>
                <w:rFonts w:ascii="Verdana" w:hAnsi="Verdana"/>
                <w:b w:val="0"/>
                <w:sz w:val="20"/>
                <w:szCs w:val="20"/>
                <w:lang w:val="pt-BR"/>
              </w:rPr>
              <w:t>Uma vez t</w:t>
            </w:r>
            <w:r w:rsidR="00492EE9" w:rsidRPr="00157AE3">
              <w:rPr>
                <w:rFonts w:ascii="Verdana" w:hAnsi="Verdana"/>
                <w:b w:val="0"/>
                <w:sz w:val="20"/>
                <w:szCs w:val="20"/>
                <w:lang w:val="pt-BR"/>
              </w:rPr>
              <w:t xml:space="preserve">omada a decisão de privatização, deve-se estabelecer um arcabouço regulatório adequado para </w:t>
            </w:r>
            <w:r w:rsidR="00736708" w:rsidRPr="00157AE3">
              <w:rPr>
                <w:rFonts w:ascii="Verdana" w:hAnsi="Verdana"/>
                <w:b w:val="0"/>
                <w:sz w:val="20"/>
                <w:szCs w:val="20"/>
                <w:lang w:val="pt-BR"/>
              </w:rPr>
              <w:t xml:space="preserve">a </w:t>
            </w:r>
            <w:r w:rsidR="00492EE9" w:rsidRPr="00157AE3">
              <w:rPr>
                <w:rFonts w:ascii="Verdana" w:hAnsi="Verdana"/>
                <w:b w:val="0"/>
                <w:sz w:val="20"/>
                <w:szCs w:val="20"/>
                <w:lang w:val="pt-BR"/>
              </w:rPr>
              <w:t>garanti</w:t>
            </w:r>
            <w:r w:rsidR="00736708" w:rsidRPr="00157AE3">
              <w:rPr>
                <w:rFonts w:ascii="Verdana" w:hAnsi="Verdana"/>
                <w:b w:val="0"/>
                <w:sz w:val="20"/>
                <w:szCs w:val="20"/>
                <w:lang w:val="pt-BR"/>
              </w:rPr>
              <w:t>a</w:t>
            </w:r>
            <w:r w:rsidR="00492EE9" w:rsidRPr="00157AE3">
              <w:rPr>
                <w:rFonts w:ascii="Verdana" w:hAnsi="Verdana"/>
                <w:b w:val="0"/>
                <w:sz w:val="20"/>
                <w:szCs w:val="20"/>
                <w:lang w:val="pt-BR"/>
              </w:rPr>
              <w:t xml:space="preserve"> </w:t>
            </w:r>
            <w:r w:rsidR="00736708" w:rsidRPr="00157AE3">
              <w:rPr>
                <w:rFonts w:ascii="Verdana" w:hAnsi="Verdana"/>
                <w:b w:val="0"/>
                <w:sz w:val="20"/>
                <w:szCs w:val="20"/>
                <w:lang w:val="pt-BR"/>
              </w:rPr>
              <w:t>d</w:t>
            </w:r>
            <w:r w:rsidR="00492EE9" w:rsidRPr="00157AE3">
              <w:rPr>
                <w:rFonts w:ascii="Verdana" w:hAnsi="Verdana"/>
                <w:b w:val="0"/>
                <w:sz w:val="20"/>
                <w:szCs w:val="20"/>
                <w:lang w:val="pt-BR"/>
              </w:rPr>
              <w:t>o atendimento dos objetivos sociais relevantes, com fixação de indicadores quantitativos e qualitativos que permitam seu monitoramento.</w:t>
            </w:r>
          </w:p>
        </w:tc>
      </w:tr>
      <w:tr w:rsidR="00EF1DF1" w:rsidRPr="006F538F" w14:paraId="753EE43D" w14:textId="77777777" w:rsidTr="0021548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000000"/>
            </w:tcBorders>
            <w:shd w:val="clear" w:color="auto" w:fill="000000" w:themeFill="text1"/>
            <w:vAlign w:val="center"/>
          </w:tcPr>
          <w:p w14:paraId="0347D18E" w14:textId="77777777" w:rsidR="00EF1DF1" w:rsidRPr="00157AE3" w:rsidRDefault="00EF1DF1" w:rsidP="001B4EA4">
            <w:pPr>
              <w:spacing w:line="276" w:lineRule="auto"/>
              <w:jc w:val="both"/>
              <w:rPr>
                <w:rFonts w:ascii="Verdana" w:hAnsi="Verdana"/>
                <w:b w:val="0"/>
                <w:sz w:val="20"/>
                <w:szCs w:val="20"/>
                <w:lang w:val="pt-BR"/>
              </w:rPr>
            </w:pPr>
          </w:p>
        </w:tc>
      </w:tr>
      <w:tr w:rsidR="002520ED" w:rsidRPr="006F538F" w14:paraId="5209543D" w14:textId="77777777" w:rsidTr="002154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000000"/>
            </w:tcBorders>
            <w:vAlign w:val="center"/>
          </w:tcPr>
          <w:p w14:paraId="39677BE8" w14:textId="33225801" w:rsidR="002520ED" w:rsidRPr="00157AE3" w:rsidRDefault="00106F8F" w:rsidP="001B4EA4">
            <w:pPr>
              <w:spacing w:line="276" w:lineRule="auto"/>
              <w:jc w:val="both"/>
              <w:rPr>
                <w:rFonts w:ascii="Verdana" w:hAnsi="Verdana"/>
                <w:b w:val="0"/>
                <w:sz w:val="20"/>
                <w:szCs w:val="20"/>
                <w:lang w:val="pt-BR"/>
              </w:rPr>
            </w:pPr>
            <w:r w:rsidRPr="00157AE3">
              <w:rPr>
                <w:rFonts w:ascii="Verdana" w:hAnsi="Verdana"/>
                <w:b w:val="0"/>
                <w:sz w:val="20"/>
                <w:szCs w:val="20"/>
                <w:lang w:val="pt-BR"/>
              </w:rPr>
              <w:t xml:space="preserve">Caso </w:t>
            </w:r>
            <w:r w:rsidR="006D354D" w:rsidRPr="00157AE3">
              <w:rPr>
                <w:rFonts w:ascii="Verdana" w:hAnsi="Verdana"/>
                <w:b w:val="0"/>
                <w:sz w:val="20"/>
                <w:szCs w:val="20"/>
                <w:lang w:val="pt-BR"/>
              </w:rPr>
              <w:t xml:space="preserve">se verifique </w:t>
            </w:r>
            <w:r w:rsidRPr="00157AE3">
              <w:rPr>
                <w:rFonts w:ascii="Verdana" w:hAnsi="Verdana"/>
                <w:b w:val="0"/>
                <w:sz w:val="20"/>
                <w:szCs w:val="20"/>
                <w:lang w:val="pt-BR"/>
              </w:rPr>
              <w:t xml:space="preserve">não </w:t>
            </w:r>
            <w:r w:rsidR="006D354D" w:rsidRPr="00157AE3">
              <w:rPr>
                <w:rFonts w:ascii="Verdana" w:hAnsi="Verdana"/>
                <w:b w:val="0"/>
                <w:sz w:val="20"/>
                <w:szCs w:val="20"/>
                <w:lang w:val="pt-BR"/>
              </w:rPr>
              <w:t>ser</w:t>
            </w:r>
            <w:r w:rsidRPr="00157AE3">
              <w:rPr>
                <w:rFonts w:ascii="Verdana" w:hAnsi="Verdana"/>
                <w:b w:val="0"/>
                <w:sz w:val="20"/>
                <w:szCs w:val="20"/>
                <w:lang w:val="pt-BR"/>
              </w:rPr>
              <w:t xml:space="preserve"> recomendável a privatização, deve-se ponderar se os objetivos sociais identificados são suficientemente relevantes para compensar a manutenção da empresa estatal</w:t>
            </w:r>
            <w:r w:rsidR="00EF1DF1" w:rsidRPr="00157AE3">
              <w:rPr>
                <w:rFonts w:ascii="Verdana" w:hAnsi="Verdana"/>
                <w:b w:val="0"/>
                <w:sz w:val="20"/>
                <w:szCs w:val="20"/>
                <w:lang w:val="pt-BR"/>
              </w:rPr>
              <w:t xml:space="preserve"> ou se é preferível </w:t>
            </w:r>
            <w:r w:rsidR="00736708" w:rsidRPr="00157AE3">
              <w:rPr>
                <w:rFonts w:ascii="Verdana" w:hAnsi="Verdana"/>
                <w:b w:val="0"/>
                <w:sz w:val="20"/>
                <w:szCs w:val="20"/>
                <w:lang w:val="pt-BR"/>
              </w:rPr>
              <w:t>vender</w:t>
            </w:r>
            <w:r w:rsidR="00EF1DF1" w:rsidRPr="00157AE3">
              <w:rPr>
                <w:rFonts w:ascii="Verdana" w:hAnsi="Verdana"/>
                <w:b w:val="0"/>
                <w:sz w:val="20"/>
                <w:szCs w:val="20"/>
                <w:lang w:val="pt-BR"/>
              </w:rPr>
              <w:t xml:space="preserve"> seus ativos, </w:t>
            </w:r>
            <w:r w:rsidR="00736708" w:rsidRPr="00157AE3">
              <w:rPr>
                <w:rFonts w:ascii="Verdana" w:hAnsi="Verdana"/>
                <w:b w:val="0"/>
                <w:sz w:val="20"/>
                <w:szCs w:val="20"/>
                <w:lang w:val="pt-BR"/>
              </w:rPr>
              <w:t xml:space="preserve">encerrar suas atividades ou repassá-las a </w:t>
            </w:r>
            <w:r w:rsidR="00EF1DF1" w:rsidRPr="00157AE3">
              <w:rPr>
                <w:rFonts w:ascii="Verdana" w:hAnsi="Verdana"/>
                <w:b w:val="0"/>
                <w:sz w:val="20"/>
                <w:szCs w:val="20"/>
                <w:lang w:val="pt-BR"/>
              </w:rPr>
              <w:t>outras áreas do Estado.</w:t>
            </w:r>
          </w:p>
        </w:tc>
      </w:tr>
      <w:tr w:rsidR="007A053A" w:rsidRPr="006F538F" w14:paraId="6EC9BAF9" w14:textId="77777777" w:rsidTr="0021548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000000"/>
            </w:tcBorders>
            <w:shd w:val="clear" w:color="auto" w:fill="000000" w:themeFill="text1"/>
          </w:tcPr>
          <w:p w14:paraId="05E9A0C8" w14:textId="77777777" w:rsidR="007A053A" w:rsidRPr="001B4EA4" w:rsidRDefault="007A053A" w:rsidP="001B4EA4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pt-BR"/>
              </w:rPr>
            </w:pPr>
          </w:p>
        </w:tc>
      </w:tr>
    </w:tbl>
    <w:p w14:paraId="2EECB034" w14:textId="77777777" w:rsidR="00B77231" w:rsidRPr="001B4EA4" w:rsidRDefault="00B77231" w:rsidP="001B4EA4">
      <w:pPr>
        <w:spacing w:before="160" w:line="276" w:lineRule="auto"/>
        <w:jc w:val="both"/>
        <w:rPr>
          <w:rFonts w:ascii="Verdana" w:hAnsi="Verdana"/>
          <w:i/>
          <w:sz w:val="20"/>
          <w:szCs w:val="20"/>
          <w:lang w:val="pt-BR"/>
        </w:rPr>
      </w:pPr>
    </w:p>
    <w:p w14:paraId="74CF32F3" w14:textId="2B1D20B7" w:rsidR="00D10FAC" w:rsidRPr="001B4EA4" w:rsidRDefault="004E6390" w:rsidP="001B4EA4">
      <w:pPr>
        <w:spacing w:before="160" w:line="276" w:lineRule="auto"/>
        <w:jc w:val="both"/>
        <w:rPr>
          <w:rFonts w:ascii="Verdana" w:hAnsi="Verdana"/>
          <w:i/>
          <w:sz w:val="20"/>
          <w:szCs w:val="20"/>
          <w:lang w:val="pt-BR"/>
        </w:rPr>
      </w:pPr>
      <w:r w:rsidRPr="001B4EA4">
        <w:rPr>
          <w:rFonts w:ascii="Verdana" w:hAnsi="Verdana"/>
          <w:i/>
          <w:sz w:val="20"/>
          <w:szCs w:val="20"/>
          <w:lang w:val="pt-BR"/>
        </w:rPr>
        <w:t>Aplicação</w:t>
      </w:r>
    </w:p>
    <w:p w14:paraId="2DFB04D3" w14:textId="5282CE7C" w:rsidR="00D13C15" w:rsidRPr="001B4EA4" w:rsidRDefault="00CD78E5" w:rsidP="001B4EA4">
      <w:pPr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ab/>
      </w:r>
      <w:r w:rsidR="00492EE9" w:rsidRPr="001B4EA4">
        <w:rPr>
          <w:rFonts w:ascii="Verdana" w:hAnsi="Verdana"/>
          <w:sz w:val="20"/>
          <w:szCs w:val="20"/>
          <w:lang w:val="pt-BR"/>
        </w:rPr>
        <w:t xml:space="preserve">É recomendável que seja feita </w:t>
      </w:r>
      <w:r w:rsidR="00AD53C2" w:rsidRPr="001B4EA4">
        <w:rPr>
          <w:rFonts w:ascii="Verdana" w:hAnsi="Verdana"/>
          <w:sz w:val="20"/>
          <w:szCs w:val="20"/>
          <w:lang w:val="pt-BR"/>
        </w:rPr>
        <w:t>um</w:t>
      </w:r>
      <w:r w:rsidR="00492EE9" w:rsidRPr="001B4EA4">
        <w:rPr>
          <w:rFonts w:ascii="Verdana" w:hAnsi="Verdana"/>
          <w:sz w:val="20"/>
          <w:szCs w:val="20"/>
          <w:lang w:val="pt-BR"/>
        </w:rPr>
        <w:t>a análise da estata</w:t>
      </w:r>
      <w:r w:rsidR="007C2EEE" w:rsidRPr="001B4EA4">
        <w:rPr>
          <w:rFonts w:ascii="Verdana" w:hAnsi="Verdana"/>
          <w:sz w:val="20"/>
          <w:szCs w:val="20"/>
          <w:lang w:val="pt-BR"/>
        </w:rPr>
        <w:t>l</w:t>
      </w:r>
      <w:r w:rsidR="00492EE9" w:rsidRPr="001B4EA4">
        <w:rPr>
          <w:rFonts w:ascii="Verdana" w:hAnsi="Verdana"/>
          <w:sz w:val="20"/>
          <w:szCs w:val="20"/>
          <w:lang w:val="pt-BR"/>
        </w:rPr>
        <w:t xml:space="preserve"> com base </w:t>
      </w:r>
      <w:r w:rsidR="007C2EEE" w:rsidRPr="001B4EA4">
        <w:rPr>
          <w:rFonts w:ascii="Verdana" w:hAnsi="Verdana"/>
          <w:sz w:val="20"/>
          <w:szCs w:val="20"/>
          <w:lang w:val="pt-BR"/>
        </w:rPr>
        <w:t>em</w:t>
      </w:r>
      <w:r w:rsidR="00492EE9" w:rsidRPr="001B4EA4">
        <w:rPr>
          <w:rFonts w:ascii="Verdana" w:hAnsi="Verdana"/>
          <w:sz w:val="20"/>
          <w:szCs w:val="20"/>
          <w:lang w:val="pt-BR"/>
        </w:rPr>
        <w:t xml:space="preserve"> seus indicadores de eficiência e nos objetivos sociais definidos por lei ou por políticas públicas</w:t>
      </w:r>
      <w:r w:rsidR="00D420BA" w:rsidRPr="001B4EA4">
        <w:rPr>
          <w:rFonts w:ascii="Verdana" w:hAnsi="Verdana"/>
          <w:sz w:val="20"/>
          <w:szCs w:val="20"/>
          <w:lang w:val="pt-BR"/>
        </w:rPr>
        <w:t xml:space="preserve"> para tomada de decisão pela privatização, manutenção da empresa como estatal ou encerramento das atividade</w:t>
      </w:r>
      <w:r w:rsidR="00AD53C2" w:rsidRPr="001B4EA4">
        <w:rPr>
          <w:rFonts w:ascii="Verdana" w:hAnsi="Verdana"/>
          <w:sz w:val="20"/>
          <w:szCs w:val="20"/>
          <w:lang w:val="pt-BR"/>
        </w:rPr>
        <w:t>s</w:t>
      </w:r>
      <w:r w:rsidR="00D420BA" w:rsidRPr="001B4EA4">
        <w:rPr>
          <w:rFonts w:ascii="Verdana" w:hAnsi="Verdana"/>
          <w:sz w:val="20"/>
          <w:szCs w:val="20"/>
          <w:lang w:val="pt-BR"/>
        </w:rPr>
        <w:t xml:space="preserve"> e/ou venda de seus ativos</w:t>
      </w:r>
      <w:r w:rsidR="00492EE9" w:rsidRPr="001B4EA4">
        <w:rPr>
          <w:rFonts w:ascii="Verdana" w:hAnsi="Verdana"/>
          <w:sz w:val="20"/>
          <w:szCs w:val="20"/>
          <w:lang w:val="pt-BR"/>
        </w:rPr>
        <w:t>.</w:t>
      </w:r>
      <w:r w:rsidR="00B630A7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="007064D1" w:rsidRPr="001B4EA4">
        <w:rPr>
          <w:rFonts w:ascii="Verdana" w:hAnsi="Verdana"/>
          <w:sz w:val="20"/>
          <w:szCs w:val="20"/>
          <w:lang w:val="pt-BR"/>
        </w:rPr>
        <w:t xml:space="preserve">Para cada atividade da estatal com relevância para objetivos sociais, </w:t>
      </w:r>
      <w:r w:rsidR="00D13C15" w:rsidRPr="001B4EA4">
        <w:rPr>
          <w:rFonts w:ascii="Verdana" w:hAnsi="Verdana"/>
          <w:sz w:val="20"/>
          <w:szCs w:val="20"/>
          <w:lang w:val="pt-BR"/>
        </w:rPr>
        <w:t>sugere-se que seja identificado</w:t>
      </w:r>
      <w:r w:rsidR="004176F6" w:rsidRPr="001B4EA4">
        <w:rPr>
          <w:rFonts w:ascii="Verdana" w:hAnsi="Verdana"/>
          <w:sz w:val="20"/>
          <w:szCs w:val="20"/>
          <w:lang w:val="pt-BR"/>
        </w:rPr>
        <w:t xml:space="preserve"> e divulgado</w:t>
      </w:r>
      <w:r w:rsidR="007064D1" w:rsidRPr="001B4EA4">
        <w:rPr>
          <w:rFonts w:ascii="Verdana" w:hAnsi="Verdana"/>
          <w:sz w:val="20"/>
          <w:szCs w:val="20"/>
          <w:lang w:val="pt-BR"/>
        </w:rPr>
        <w:t xml:space="preserve">: </w:t>
      </w:r>
    </w:p>
    <w:p w14:paraId="11F4EDC5" w14:textId="77777777" w:rsidR="00D13C15" w:rsidRPr="001B4EA4" w:rsidRDefault="007064D1" w:rsidP="001B4EA4">
      <w:pPr>
        <w:pStyle w:val="PargrafodaLista"/>
        <w:numPr>
          <w:ilvl w:val="0"/>
          <w:numId w:val="14"/>
        </w:numPr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 xml:space="preserve">como a passagem para o setor privado pode gerar ganhos de eficiência e quais os mecanismos envolvidos; </w:t>
      </w:r>
    </w:p>
    <w:p w14:paraId="7C52643F" w14:textId="10C69562" w:rsidR="00D13C15" w:rsidRPr="001B4EA4" w:rsidRDefault="007064D1" w:rsidP="001B4EA4">
      <w:pPr>
        <w:pStyle w:val="PargrafodaLista"/>
        <w:numPr>
          <w:ilvl w:val="0"/>
          <w:numId w:val="14"/>
        </w:numPr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 xml:space="preserve">quais os riscos que essa passagem pode </w:t>
      </w:r>
      <w:r w:rsidR="008C6214" w:rsidRPr="001B4EA4">
        <w:rPr>
          <w:rFonts w:ascii="Verdana" w:hAnsi="Verdana"/>
          <w:sz w:val="20"/>
          <w:szCs w:val="20"/>
          <w:lang w:val="pt-BR"/>
        </w:rPr>
        <w:t>gerar</w:t>
      </w:r>
      <w:r w:rsidRPr="001B4EA4">
        <w:rPr>
          <w:rFonts w:ascii="Verdana" w:hAnsi="Verdana"/>
          <w:sz w:val="20"/>
          <w:szCs w:val="20"/>
          <w:lang w:val="pt-BR"/>
        </w:rPr>
        <w:t xml:space="preserve"> caso os controladores privados não tenham os incentivos corretos </w:t>
      </w:r>
      <w:r w:rsidR="009E485D" w:rsidRPr="001B4EA4">
        <w:rPr>
          <w:rFonts w:ascii="Verdana" w:hAnsi="Verdana"/>
          <w:sz w:val="20"/>
          <w:szCs w:val="20"/>
          <w:lang w:val="pt-BR"/>
        </w:rPr>
        <w:t>para buscar objetivos sociais;</w:t>
      </w:r>
      <w:r w:rsidRPr="001B4EA4">
        <w:rPr>
          <w:rFonts w:ascii="Verdana" w:hAnsi="Verdana"/>
          <w:sz w:val="20"/>
          <w:szCs w:val="20"/>
          <w:lang w:val="pt-BR"/>
        </w:rPr>
        <w:t xml:space="preserve"> </w:t>
      </w:r>
    </w:p>
    <w:p w14:paraId="7FDCC23D" w14:textId="77280A5E" w:rsidR="007064D1" w:rsidRPr="001B4EA4" w:rsidRDefault="007064D1" w:rsidP="001B4EA4">
      <w:pPr>
        <w:pStyle w:val="PargrafodaLista"/>
        <w:numPr>
          <w:ilvl w:val="0"/>
          <w:numId w:val="14"/>
        </w:numPr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 xml:space="preserve">qual arcabouço contratual ou regulatório é necessário para garantir que esses objetivos sejam atingidos, </w:t>
      </w:r>
      <w:r w:rsidR="00D13C15" w:rsidRPr="001B4EA4">
        <w:rPr>
          <w:rFonts w:ascii="Verdana" w:hAnsi="Verdana"/>
          <w:sz w:val="20"/>
          <w:szCs w:val="20"/>
          <w:lang w:val="pt-BR"/>
        </w:rPr>
        <w:t xml:space="preserve">tendo em </w:t>
      </w:r>
      <w:r w:rsidR="008C6214" w:rsidRPr="001B4EA4">
        <w:rPr>
          <w:rFonts w:ascii="Verdana" w:hAnsi="Verdana"/>
          <w:sz w:val="20"/>
          <w:szCs w:val="20"/>
          <w:lang w:val="pt-BR"/>
        </w:rPr>
        <w:t>vista</w:t>
      </w:r>
      <w:r w:rsidRPr="001B4EA4">
        <w:rPr>
          <w:rFonts w:ascii="Verdana" w:hAnsi="Verdana"/>
          <w:sz w:val="20"/>
          <w:szCs w:val="20"/>
          <w:lang w:val="pt-BR"/>
        </w:rPr>
        <w:t xml:space="preserve"> quais órgãos do setor público podem </w:t>
      </w:r>
      <w:r w:rsidR="008C6214" w:rsidRPr="001B4EA4">
        <w:rPr>
          <w:rFonts w:ascii="Verdana" w:hAnsi="Verdana"/>
          <w:sz w:val="20"/>
          <w:szCs w:val="20"/>
          <w:lang w:val="pt-BR"/>
        </w:rPr>
        <w:t>fazer</w:t>
      </w:r>
      <w:r w:rsidRPr="001B4EA4">
        <w:rPr>
          <w:rFonts w:ascii="Verdana" w:hAnsi="Verdana"/>
          <w:sz w:val="20"/>
          <w:szCs w:val="20"/>
          <w:lang w:val="pt-BR"/>
        </w:rPr>
        <w:t xml:space="preserve"> o monitoramento das atividades do setor privado.</w:t>
      </w:r>
    </w:p>
    <w:p w14:paraId="5A39525F" w14:textId="71055B56" w:rsidR="00D420BA" w:rsidRPr="001B4EA4" w:rsidRDefault="009A1667" w:rsidP="001B4EA4">
      <w:pPr>
        <w:spacing w:line="276" w:lineRule="auto"/>
        <w:ind w:firstLine="708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 xml:space="preserve">À luz </w:t>
      </w:r>
      <w:r w:rsidR="00676C60" w:rsidRPr="001B4EA4">
        <w:rPr>
          <w:rFonts w:ascii="Verdana" w:hAnsi="Verdana"/>
          <w:sz w:val="20"/>
          <w:szCs w:val="20"/>
          <w:lang w:val="pt-BR"/>
        </w:rPr>
        <w:t xml:space="preserve">das conclusões obtidas, </w:t>
      </w:r>
      <w:r w:rsidR="008C6214" w:rsidRPr="001B4EA4">
        <w:rPr>
          <w:rFonts w:ascii="Verdana" w:hAnsi="Verdana"/>
          <w:sz w:val="20"/>
          <w:szCs w:val="20"/>
          <w:lang w:val="pt-BR"/>
        </w:rPr>
        <w:t xml:space="preserve">é </w:t>
      </w:r>
      <w:r w:rsidR="009E485D" w:rsidRPr="001B4EA4">
        <w:rPr>
          <w:rFonts w:ascii="Verdana" w:hAnsi="Verdana"/>
          <w:sz w:val="20"/>
          <w:szCs w:val="20"/>
          <w:lang w:val="pt-BR"/>
        </w:rPr>
        <w:t>aconselhável</w:t>
      </w:r>
      <w:r w:rsidR="008C6214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="00676C60" w:rsidRPr="001B4EA4">
        <w:rPr>
          <w:rFonts w:ascii="Verdana" w:hAnsi="Verdana"/>
          <w:sz w:val="20"/>
          <w:szCs w:val="20"/>
          <w:lang w:val="pt-BR"/>
        </w:rPr>
        <w:t>o questionamento</w:t>
      </w:r>
      <w:r w:rsidR="008C6214" w:rsidRPr="001B4EA4">
        <w:rPr>
          <w:rFonts w:ascii="Verdana" w:hAnsi="Verdana"/>
          <w:sz w:val="20"/>
          <w:szCs w:val="20"/>
          <w:lang w:val="pt-BR"/>
        </w:rPr>
        <w:t>:</w:t>
      </w:r>
      <w:r w:rsidR="00676C60" w:rsidRPr="001B4EA4">
        <w:rPr>
          <w:rFonts w:ascii="Verdana" w:hAnsi="Verdana"/>
          <w:sz w:val="20"/>
          <w:szCs w:val="20"/>
          <w:lang w:val="pt-BR"/>
        </w:rPr>
        <w:t xml:space="preserve"> os benefícios da passagem da estatal para o controle privado superam os potenciais custos e riscos</w:t>
      </w:r>
      <w:r w:rsidR="008C6214" w:rsidRPr="001B4EA4">
        <w:rPr>
          <w:rFonts w:ascii="Verdana" w:hAnsi="Verdana"/>
          <w:sz w:val="20"/>
          <w:szCs w:val="20"/>
          <w:lang w:val="pt-BR"/>
        </w:rPr>
        <w:t>?</w:t>
      </w:r>
      <w:r w:rsidR="00676C60" w:rsidRPr="001B4EA4">
        <w:rPr>
          <w:rFonts w:ascii="Verdana" w:hAnsi="Verdana"/>
          <w:sz w:val="20"/>
          <w:szCs w:val="20"/>
          <w:lang w:val="pt-BR"/>
        </w:rPr>
        <w:t xml:space="preserve"> </w:t>
      </w:r>
    </w:p>
    <w:p w14:paraId="6BBC2CFC" w14:textId="44FECBCE" w:rsidR="009B0484" w:rsidRPr="001B4EA4" w:rsidRDefault="00676C60" w:rsidP="001B4EA4">
      <w:pPr>
        <w:spacing w:line="276" w:lineRule="auto"/>
        <w:ind w:firstLine="708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 xml:space="preserve">Caso </w:t>
      </w:r>
      <w:r w:rsidR="00C04ABE" w:rsidRPr="001B4EA4">
        <w:rPr>
          <w:rFonts w:ascii="Verdana" w:hAnsi="Verdana"/>
          <w:sz w:val="20"/>
          <w:szCs w:val="20"/>
          <w:lang w:val="pt-BR"/>
        </w:rPr>
        <w:t>a</w:t>
      </w:r>
      <w:r w:rsidRPr="001B4EA4">
        <w:rPr>
          <w:rFonts w:ascii="Verdana" w:hAnsi="Verdana"/>
          <w:sz w:val="20"/>
          <w:szCs w:val="20"/>
          <w:lang w:val="pt-BR"/>
        </w:rPr>
        <w:t xml:space="preserve"> resposta </w:t>
      </w:r>
      <w:r w:rsidR="00C04ABE" w:rsidRPr="001B4EA4">
        <w:rPr>
          <w:rFonts w:ascii="Verdana" w:hAnsi="Verdana"/>
          <w:sz w:val="20"/>
          <w:szCs w:val="20"/>
          <w:lang w:val="pt-BR"/>
        </w:rPr>
        <w:t xml:space="preserve">seja </w:t>
      </w:r>
      <w:r w:rsidRPr="001B4EA4">
        <w:rPr>
          <w:rFonts w:ascii="Verdana" w:hAnsi="Verdana"/>
          <w:sz w:val="20"/>
          <w:szCs w:val="20"/>
          <w:lang w:val="pt-BR"/>
        </w:rPr>
        <w:t>positiva, deve-se verificar se é possível estabelecer um arcabouço regulatório adequado para garantir o atendimento dos objetivos sociais relevantes</w:t>
      </w:r>
      <w:r w:rsidR="002102DC" w:rsidRPr="001B4EA4">
        <w:rPr>
          <w:rFonts w:ascii="Verdana" w:hAnsi="Verdana"/>
          <w:sz w:val="20"/>
          <w:szCs w:val="20"/>
          <w:lang w:val="pt-BR"/>
        </w:rPr>
        <w:t>, com fixação de indicadores quantitativos e qualitativos que permitam seu monitoramento.</w:t>
      </w:r>
      <w:r w:rsidR="00D420BA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="009E485D" w:rsidRPr="001B4EA4">
        <w:rPr>
          <w:rFonts w:ascii="Verdana" w:hAnsi="Verdana"/>
          <w:sz w:val="20"/>
          <w:szCs w:val="20"/>
          <w:lang w:val="pt-BR"/>
        </w:rPr>
        <w:t>Q</w:t>
      </w:r>
      <w:r w:rsidR="001A4218" w:rsidRPr="001B4EA4">
        <w:rPr>
          <w:rFonts w:ascii="Verdana" w:hAnsi="Verdana"/>
          <w:sz w:val="20"/>
          <w:szCs w:val="20"/>
          <w:lang w:val="pt-BR"/>
        </w:rPr>
        <w:t xml:space="preserve">uando </w:t>
      </w:r>
      <w:r w:rsidR="006821CB" w:rsidRPr="001B4EA4">
        <w:rPr>
          <w:rFonts w:ascii="Verdana" w:hAnsi="Verdana"/>
          <w:sz w:val="20"/>
          <w:szCs w:val="20"/>
          <w:lang w:val="pt-BR"/>
        </w:rPr>
        <w:t xml:space="preserve">a empresa a ser privatizada exerce </w:t>
      </w:r>
      <w:r w:rsidR="001A4218" w:rsidRPr="001B4EA4">
        <w:rPr>
          <w:rFonts w:ascii="Verdana" w:hAnsi="Verdana"/>
          <w:sz w:val="20"/>
          <w:szCs w:val="20"/>
          <w:lang w:val="pt-BR"/>
        </w:rPr>
        <w:t xml:space="preserve">atividade de interesse social com feição de política pública, o arcabouço regulatório necessário para </w:t>
      </w:r>
      <w:r w:rsidR="008C6214" w:rsidRPr="001B4EA4">
        <w:rPr>
          <w:rFonts w:ascii="Verdana" w:hAnsi="Verdana"/>
          <w:sz w:val="20"/>
          <w:szCs w:val="20"/>
          <w:lang w:val="pt-BR"/>
        </w:rPr>
        <w:t>se assegurar</w:t>
      </w:r>
      <w:r w:rsidR="001A4218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="00E33AC5" w:rsidRPr="001B4EA4">
        <w:rPr>
          <w:rFonts w:ascii="Verdana" w:hAnsi="Verdana"/>
          <w:sz w:val="20"/>
          <w:szCs w:val="20"/>
          <w:lang w:val="pt-BR"/>
        </w:rPr>
        <w:t xml:space="preserve">a realização </w:t>
      </w:r>
      <w:r w:rsidR="009B0484" w:rsidRPr="001B4EA4">
        <w:rPr>
          <w:rFonts w:ascii="Verdana" w:hAnsi="Verdana"/>
          <w:sz w:val="20"/>
          <w:szCs w:val="20"/>
          <w:lang w:val="pt-BR"/>
        </w:rPr>
        <w:t>privad</w:t>
      </w:r>
      <w:r w:rsidR="00E33AC5" w:rsidRPr="001B4EA4">
        <w:rPr>
          <w:rFonts w:ascii="Verdana" w:hAnsi="Verdana"/>
          <w:sz w:val="20"/>
          <w:szCs w:val="20"/>
          <w:lang w:val="pt-BR"/>
        </w:rPr>
        <w:t>a</w:t>
      </w:r>
      <w:r w:rsidR="009B0484" w:rsidRPr="001B4EA4">
        <w:rPr>
          <w:rFonts w:ascii="Verdana" w:hAnsi="Verdana"/>
          <w:sz w:val="20"/>
          <w:szCs w:val="20"/>
          <w:lang w:val="pt-BR"/>
        </w:rPr>
        <w:t xml:space="preserve"> de</w:t>
      </w:r>
      <w:r w:rsidR="00BF5BD0" w:rsidRPr="001B4EA4">
        <w:rPr>
          <w:rFonts w:ascii="Verdana" w:hAnsi="Verdana"/>
          <w:sz w:val="20"/>
          <w:szCs w:val="20"/>
          <w:lang w:val="pt-BR"/>
        </w:rPr>
        <w:t>s</w:t>
      </w:r>
      <w:r w:rsidR="008C6214" w:rsidRPr="001B4EA4">
        <w:rPr>
          <w:rFonts w:ascii="Verdana" w:hAnsi="Verdana"/>
          <w:sz w:val="20"/>
          <w:szCs w:val="20"/>
          <w:lang w:val="pt-BR"/>
        </w:rPr>
        <w:t>s</w:t>
      </w:r>
      <w:r w:rsidR="00BF5BD0" w:rsidRPr="001B4EA4">
        <w:rPr>
          <w:rFonts w:ascii="Verdana" w:hAnsi="Verdana"/>
          <w:sz w:val="20"/>
          <w:szCs w:val="20"/>
          <w:lang w:val="pt-BR"/>
        </w:rPr>
        <w:t>a</w:t>
      </w:r>
      <w:r w:rsidR="009B0484" w:rsidRPr="001B4EA4">
        <w:rPr>
          <w:rFonts w:ascii="Verdana" w:hAnsi="Verdana"/>
          <w:sz w:val="20"/>
          <w:szCs w:val="20"/>
          <w:lang w:val="pt-BR"/>
        </w:rPr>
        <w:t xml:space="preserve"> atividade</w:t>
      </w:r>
      <w:r w:rsidR="00DD5442" w:rsidRPr="001B4EA4">
        <w:rPr>
          <w:rFonts w:ascii="Verdana" w:hAnsi="Verdana"/>
          <w:sz w:val="20"/>
          <w:szCs w:val="20"/>
          <w:lang w:val="pt-BR"/>
        </w:rPr>
        <w:t xml:space="preserve"> pode</w:t>
      </w:r>
      <w:r w:rsidR="009B0484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="00BF5BD0" w:rsidRPr="001B4EA4">
        <w:rPr>
          <w:rFonts w:ascii="Verdana" w:hAnsi="Verdana"/>
          <w:sz w:val="20"/>
          <w:szCs w:val="20"/>
          <w:lang w:val="pt-BR"/>
        </w:rPr>
        <w:t>exig</w:t>
      </w:r>
      <w:r w:rsidR="00DD5442" w:rsidRPr="001B4EA4">
        <w:rPr>
          <w:rFonts w:ascii="Verdana" w:hAnsi="Verdana"/>
          <w:sz w:val="20"/>
          <w:szCs w:val="20"/>
          <w:lang w:val="pt-BR"/>
        </w:rPr>
        <w:t>ir</w:t>
      </w:r>
      <w:r w:rsidR="009B0484" w:rsidRPr="001B4EA4">
        <w:rPr>
          <w:rFonts w:ascii="Verdana" w:hAnsi="Verdana"/>
          <w:sz w:val="20"/>
          <w:szCs w:val="20"/>
          <w:lang w:val="pt-BR"/>
        </w:rPr>
        <w:t xml:space="preserve"> a formulação de instrumentos de incentivo e </w:t>
      </w:r>
      <w:r w:rsidR="008C6214" w:rsidRPr="001B4EA4">
        <w:rPr>
          <w:rFonts w:ascii="Verdana" w:hAnsi="Verdana"/>
          <w:sz w:val="20"/>
          <w:szCs w:val="20"/>
          <w:lang w:val="pt-BR"/>
        </w:rPr>
        <w:t xml:space="preserve">a criação de </w:t>
      </w:r>
      <w:r w:rsidR="009B0484" w:rsidRPr="001B4EA4">
        <w:rPr>
          <w:rFonts w:ascii="Verdana" w:hAnsi="Verdana"/>
          <w:sz w:val="20"/>
          <w:szCs w:val="20"/>
          <w:lang w:val="pt-BR"/>
        </w:rPr>
        <w:t xml:space="preserve">mecanismos de monitoramento </w:t>
      </w:r>
      <w:r w:rsidR="000369C0" w:rsidRPr="001B4EA4">
        <w:rPr>
          <w:rFonts w:ascii="Verdana" w:hAnsi="Verdana"/>
          <w:sz w:val="20"/>
          <w:szCs w:val="20"/>
          <w:lang w:val="pt-BR"/>
        </w:rPr>
        <w:t xml:space="preserve">excessivamente </w:t>
      </w:r>
      <w:r w:rsidR="009B0484" w:rsidRPr="001B4EA4">
        <w:rPr>
          <w:rFonts w:ascii="Verdana" w:hAnsi="Verdana"/>
          <w:sz w:val="20"/>
          <w:szCs w:val="20"/>
          <w:lang w:val="pt-BR"/>
        </w:rPr>
        <w:t>complexos</w:t>
      </w:r>
      <w:r w:rsidR="00BF5BD0" w:rsidRPr="001B4EA4">
        <w:rPr>
          <w:rFonts w:ascii="Verdana" w:hAnsi="Verdana"/>
          <w:sz w:val="20"/>
          <w:szCs w:val="20"/>
          <w:lang w:val="pt-BR"/>
        </w:rPr>
        <w:t xml:space="preserve"> e custosos</w:t>
      </w:r>
      <w:r w:rsidR="009B0484" w:rsidRPr="001B4EA4">
        <w:rPr>
          <w:rFonts w:ascii="Verdana" w:hAnsi="Verdana"/>
          <w:sz w:val="20"/>
          <w:szCs w:val="20"/>
          <w:lang w:val="pt-BR"/>
        </w:rPr>
        <w:t>.</w:t>
      </w:r>
      <w:r w:rsidR="002102DC" w:rsidRPr="001B4EA4">
        <w:rPr>
          <w:rFonts w:ascii="Verdana" w:hAnsi="Verdana"/>
          <w:sz w:val="20"/>
          <w:szCs w:val="20"/>
          <w:lang w:val="pt-BR"/>
        </w:rPr>
        <w:t xml:space="preserve"> </w:t>
      </w:r>
    </w:p>
    <w:p w14:paraId="46C42FB6" w14:textId="56016B35" w:rsidR="00106F8F" w:rsidRPr="001B4EA4" w:rsidRDefault="008C6214" w:rsidP="001B4EA4">
      <w:pPr>
        <w:spacing w:line="276" w:lineRule="auto"/>
        <w:ind w:firstLine="708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>Concluída</w:t>
      </w:r>
      <w:r w:rsidR="00106F8F" w:rsidRPr="001B4EA4">
        <w:rPr>
          <w:rFonts w:ascii="Verdana" w:hAnsi="Verdana"/>
          <w:sz w:val="20"/>
          <w:szCs w:val="20"/>
          <w:lang w:val="pt-BR"/>
        </w:rPr>
        <w:t xml:space="preserve"> a ponderação entre ganho de eficiência e manutenção de objetivos sociais </w:t>
      </w:r>
      <w:r w:rsidRPr="001B4EA4">
        <w:rPr>
          <w:rFonts w:ascii="Verdana" w:hAnsi="Verdana"/>
          <w:sz w:val="20"/>
          <w:szCs w:val="20"/>
          <w:lang w:val="pt-BR"/>
        </w:rPr>
        <w:t xml:space="preserve">— </w:t>
      </w:r>
      <w:r w:rsidR="00106F8F" w:rsidRPr="001B4EA4">
        <w:rPr>
          <w:rFonts w:ascii="Verdana" w:hAnsi="Verdana"/>
          <w:sz w:val="20"/>
          <w:szCs w:val="20"/>
          <w:lang w:val="pt-BR"/>
        </w:rPr>
        <w:t>e</w:t>
      </w:r>
      <w:r w:rsidRPr="001B4EA4">
        <w:rPr>
          <w:rFonts w:ascii="Verdana" w:hAnsi="Verdana"/>
          <w:sz w:val="20"/>
          <w:szCs w:val="20"/>
          <w:lang w:val="pt-BR"/>
        </w:rPr>
        <w:t>,</w:t>
      </w:r>
      <w:r w:rsidR="00106F8F" w:rsidRPr="001B4EA4">
        <w:rPr>
          <w:rFonts w:ascii="Verdana" w:hAnsi="Verdana"/>
          <w:sz w:val="20"/>
          <w:szCs w:val="20"/>
          <w:lang w:val="pt-BR"/>
        </w:rPr>
        <w:t xml:space="preserve"> caso seja possível</w:t>
      </w:r>
      <w:r w:rsidRPr="001B4EA4">
        <w:rPr>
          <w:rFonts w:ascii="Verdana" w:hAnsi="Verdana"/>
          <w:sz w:val="20"/>
          <w:szCs w:val="20"/>
          <w:lang w:val="pt-BR"/>
        </w:rPr>
        <w:t>,</w:t>
      </w:r>
      <w:r w:rsidR="00106F8F" w:rsidRPr="001B4EA4">
        <w:rPr>
          <w:rFonts w:ascii="Verdana" w:hAnsi="Verdana"/>
          <w:sz w:val="20"/>
          <w:szCs w:val="20"/>
          <w:lang w:val="pt-BR"/>
        </w:rPr>
        <w:t xml:space="preserve"> a fixação de arcabouço regulatório satisfatório para os fins indicados</w:t>
      </w:r>
      <w:r w:rsidRPr="001B4EA4">
        <w:rPr>
          <w:rFonts w:ascii="Verdana" w:hAnsi="Verdana"/>
          <w:sz w:val="20"/>
          <w:szCs w:val="20"/>
          <w:lang w:val="pt-BR"/>
        </w:rPr>
        <w:t xml:space="preserve"> —</w:t>
      </w:r>
      <w:r w:rsidR="00106F8F" w:rsidRPr="001B4EA4">
        <w:rPr>
          <w:rFonts w:ascii="Verdana" w:hAnsi="Verdana"/>
          <w:sz w:val="20"/>
          <w:szCs w:val="20"/>
          <w:lang w:val="pt-BR"/>
        </w:rPr>
        <w:t>, pode-se avançar na tomada de decisão pela privatização.</w:t>
      </w:r>
      <w:r w:rsidR="001A1B5B" w:rsidRPr="001B4EA4">
        <w:rPr>
          <w:rFonts w:ascii="Verdana" w:hAnsi="Verdana"/>
          <w:sz w:val="20"/>
          <w:szCs w:val="20"/>
          <w:lang w:val="pt-BR"/>
        </w:rPr>
        <w:t xml:space="preserve"> Nes</w:t>
      </w:r>
      <w:r w:rsidRPr="001B4EA4">
        <w:rPr>
          <w:rFonts w:ascii="Verdana" w:hAnsi="Verdana"/>
          <w:sz w:val="20"/>
          <w:szCs w:val="20"/>
          <w:lang w:val="pt-BR"/>
        </w:rPr>
        <w:t>s</w:t>
      </w:r>
      <w:r w:rsidR="001A1B5B" w:rsidRPr="001B4EA4">
        <w:rPr>
          <w:rFonts w:ascii="Verdana" w:hAnsi="Verdana"/>
          <w:sz w:val="20"/>
          <w:szCs w:val="20"/>
          <w:lang w:val="pt-BR"/>
        </w:rPr>
        <w:t xml:space="preserve">e ponto, </w:t>
      </w:r>
      <w:r w:rsidR="00E8333F" w:rsidRPr="001B4EA4">
        <w:rPr>
          <w:rFonts w:ascii="Verdana" w:hAnsi="Verdana"/>
          <w:sz w:val="20"/>
          <w:szCs w:val="20"/>
          <w:lang w:val="pt-BR"/>
        </w:rPr>
        <w:t xml:space="preserve">é </w:t>
      </w:r>
      <w:r w:rsidR="001A1B5B" w:rsidRPr="001B4EA4">
        <w:rPr>
          <w:rFonts w:ascii="Verdana" w:hAnsi="Verdana"/>
          <w:sz w:val="20"/>
          <w:szCs w:val="20"/>
          <w:lang w:val="pt-BR"/>
        </w:rPr>
        <w:t xml:space="preserve">necessário ressaltar a importância de uma análise criteriosa de todos os </w:t>
      </w:r>
      <w:r w:rsidRPr="001B4EA4">
        <w:rPr>
          <w:rFonts w:ascii="Verdana" w:hAnsi="Verdana"/>
          <w:sz w:val="20"/>
          <w:szCs w:val="20"/>
          <w:lang w:val="pt-BR"/>
        </w:rPr>
        <w:t>aspectos</w:t>
      </w:r>
      <w:r w:rsidR="001A1B5B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Pr="001B4EA4">
        <w:rPr>
          <w:rFonts w:ascii="Verdana" w:hAnsi="Verdana"/>
          <w:sz w:val="20"/>
          <w:szCs w:val="20"/>
          <w:lang w:val="pt-BR"/>
        </w:rPr>
        <w:t>aqui apresentados</w:t>
      </w:r>
      <w:r w:rsidR="001A1B5B" w:rsidRPr="001B4EA4">
        <w:rPr>
          <w:rFonts w:ascii="Verdana" w:hAnsi="Verdana"/>
          <w:sz w:val="20"/>
          <w:szCs w:val="20"/>
          <w:lang w:val="pt-BR"/>
        </w:rPr>
        <w:t xml:space="preserve"> como relevantes no momento anterior à privatização para a tomada da decisão, </w:t>
      </w:r>
      <w:r w:rsidRPr="001B4EA4">
        <w:rPr>
          <w:rFonts w:ascii="Verdana" w:hAnsi="Verdana"/>
          <w:sz w:val="20"/>
          <w:szCs w:val="20"/>
          <w:lang w:val="pt-BR"/>
        </w:rPr>
        <w:t xml:space="preserve">avaliação </w:t>
      </w:r>
      <w:r w:rsidR="001A1B5B" w:rsidRPr="001B4EA4">
        <w:rPr>
          <w:rFonts w:ascii="Verdana" w:hAnsi="Verdana"/>
          <w:sz w:val="20"/>
          <w:szCs w:val="20"/>
          <w:lang w:val="pt-BR"/>
        </w:rPr>
        <w:t>que deve ser feita de forma cautelosa e fundamentada, evitando</w:t>
      </w:r>
      <w:r w:rsidRPr="001B4EA4">
        <w:rPr>
          <w:rFonts w:ascii="Verdana" w:hAnsi="Verdana"/>
          <w:sz w:val="20"/>
          <w:szCs w:val="20"/>
          <w:lang w:val="pt-BR"/>
        </w:rPr>
        <w:t>-se</w:t>
      </w:r>
      <w:r w:rsidR="001A1B5B" w:rsidRPr="001B4EA4">
        <w:rPr>
          <w:rFonts w:ascii="Verdana" w:hAnsi="Verdana"/>
          <w:sz w:val="20"/>
          <w:szCs w:val="20"/>
          <w:lang w:val="pt-BR"/>
        </w:rPr>
        <w:t xml:space="preserve"> escolhas precipitadas ou convicções imotivadas. </w:t>
      </w:r>
    </w:p>
    <w:p w14:paraId="031A9668" w14:textId="35972B7D" w:rsidR="00106F8F" w:rsidRPr="001B4EA4" w:rsidRDefault="00106F8F" w:rsidP="001B4EA4">
      <w:pPr>
        <w:spacing w:line="276" w:lineRule="auto"/>
        <w:ind w:firstLine="708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 xml:space="preserve">Firmada a decisão de privatização, a mesma reflexão deve ser feita quanto ao monitoramento subsequente dos gestores privados, sendo essencial observar o conhecimento e </w:t>
      </w:r>
      <w:r w:rsidR="008C6214" w:rsidRPr="001B4EA4">
        <w:rPr>
          <w:rFonts w:ascii="Verdana" w:hAnsi="Verdana"/>
          <w:sz w:val="20"/>
          <w:szCs w:val="20"/>
          <w:lang w:val="pt-BR"/>
        </w:rPr>
        <w:t xml:space="preserve">a </w:t>
      </w:r>
      <w:r w:rsidRPr="001B4EA4">
        <w:rPr>
          <w:rFonts w:ascii="Verdana" w:hAnsi="Verdana"/>
          <w:sz w:val="20"/>
          <w:szCs w:val="20"/>
          <w:lang w:val="pt-BR"/>
        </w:rPr>
        <w:t>capacidade operacional das agências reguladoras para medir e acompanhar o atendimento de objetivos sociais.</w:t>
      </w:r>
    </w:p>
    <w:p w14:paraId="485671B2" w14:textId="036C20B3" w:rsidR="00D420BA" w:rsidRPr="001B4EA4" w:rsidRDefault="00106F8F" w:rsidP="001B4EA4">
      <w:pPr>
        <w:spacing w:line="276" w:lineRule="auto"/>
        <w:ind w:firstLine="708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>Por outro lado, d</w:t>
      </w:r>
      <w:r w:rsidR="00C04ABE" w:rsidRPr="001B4EA4">
        <w:rPr>
          <w:rFonts w:ascii="Verdana" w:hAnsi="Verdana"/>
          <w:sz w:val="20"/>
          <w:szCs w:val="20"/>
          <w:lang w:val="pt-BR"/>
        </w:rPr>
        <w:t>iante d</w:t>
      </w:r>
      <w:r w:rsidR="00CC1823" w:rsidRPr="001B4EA4">
        <w:rPr>
          <w:rFonts w:ascii="Verdana" w:hAnsi="Verdana"/>
          <w:sz w:val="20"/>
          <w:szCs w:val="20"/>
          <w:lang w:val="pt-BR"/>
        </w:rPr>
        <w:t>e</w:t>
      </w:r>
      <w:r w:rsidR="00C04ABE" w:rsidRPr="001B4EA4">
        <w:rPr>
          <w:rFonts w:ascii="Verdana" w:hAnsi="Verdana"/>
          <w:sz w:val="20"/>
          <w:szCs w:val="20"/>
          <w:lang w:val="pt-BR"/>
        </w:rPr>
        <w:t xml:space="preserve"> eventual impossibilidade de</w:t>
      </w:r>
      <w:r w:rsidR="00676C60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="008C6214" w:rsidRPr="001B4EA4">
        <w:rPr>
          <w:rFonts w:ascii="Verdana" w:hAnsi="Verdana"/>
          <w:sz w:val="20"/>
          <w:szCs w:val="20"/>
          <w:lang w:val="pt-BR"/>
        </w:rPr>
        <w:t xml:space="preserve">se </w:t>
      </w:r>
      <w:r w:rsidR="00676C60" w:rsidRPr="001B4EA4">
        <w:rPr>
          <w:rFonts w:ascii="Verdana" w:hAnsi="Verdana"/>
          <w:sz w:val="20"/>
          <w:szCs w:val="20"/>
          <w:lang w:val="pt-BR"/>
        </w:rPr>
        <w:t xml:space="preserve">estabelecer </w:t>
      </w:r>
      <w:r w:rsidRPr="001B4EA4">
        <w:rPr>
          <w:rFonts w:ascii="Verdana" w:hAnsi="Verdana"/>
          <w:sz w:val="20"/>
          <w:szCs w:val="20"/>
          <w:lang w:val="pt-BR"/>
        </w:rPr>
        <w:t>o</w:t>
      </w:r>
      <w:r w:rsidR="00676C60" w:rsidRPr="001B4EA4">
        <w:rPr>
          <w:rFonts w:ascii="Verdana" w:hAnsi="Verdana"/>
          <w:sz w:val="20"/>
          <w:szCs w:val="20"/>
          <w:lang w:val="pt-BR"/>
        </w:rPr>
        <w:t xml:space="preserve"> arcabouço adequado, ou verificando-se que os benefícios da passagem da estatal para o controle privado não superam os potenciais custos e riscos, </w:t>
      </w:r>
      <w:r w:rsidR="00D420BA" w:rsidRPr="001B4EA4">
        <w:rPr>
          <w:rFonts w:ascii="Verdana" w:hAnsi="Verdana"/>
          <w:sz w:val="20"/>
          <w:szCs w:val="20"/>
          <w:lang w:val="pt-BR"/>
        </w:rPr>
        <w:t>não é recomendável a privatização da estatal em questão.</w:t>
      </w:r>
    </w:p>
    <w:p w14:paraId="58656F08" w14:textId="5EC199AE" w:rsidR="00676C60" w:rsidRPr="001B4EA4" w:rsidRDefault="00D420BA" w:rsidP="001B4EA4">
      <w:pPr>
        <w:spacing w:line="276" w:lineRule="auto"/>
        <w:ind w:firstLine="708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>E</w:t>
      </w:r>
      <w:r w:rsidR="00676C60" w:rsidRPr="001B4EA4">
        <w:rPr>
          <w:rFonts w:ascii="Verdana" w:hAnsi="Verdana"/>
          <w:sz w:val="20"/>
          <w:szCs w:val="20"/>
          <w:lang w:val="pt-BR"/>
        </w:rPr>
        <w:t>merge</w:t>
      </w:r>
      <w:r w:rsidR="008C6214" w:rsidRPr="001B4EA4">
        <w:rPr>
          <w:rFonts w:ascii="Verdana" w:hAnsi="Verdana"/>
          <w:sz w:val="20"/>
          <w:szCs w:val="20"/>
          <w:lang w:val="pt-BR"/>
        </w:rPr>
        <w:t>,</w:t>
      </w:r>
      <w:r w:rsidRPr="001B4EA4">
        <w:rPr>
          <w:rFonts w:ascii="Verdana" w:hAnsi="Verdana"/>
          <w:sz w:val="20"/>
          <w:szCs w:val="20"/>
          <w:lang w:val="pt-BR"/>
        </w:rPr>
        <w:t xml:space="preserve"> então</w:t>
      </w:r>
      <w:r w:rsidR="008C6214" w:rsidRPr="001B4EA4">
        <w:rPr>
          <w:rFonts w:ascii="Verdana" w:hAnsi="Verdana"/>
          <w:sz w:val="20"/>
          <w:szCs w:val="20"/>
          <w:lang w:val="pt-BR"/>
        </w:rPr>
        <w:t>, outra</w:t>
      </w:r>
      <w:r w:rsidR="00676C60" w:rsidRPr="001B4EA4">
        <w:rPr>
          <w:rFonts w:ascii="Verdana" w:hAnsi="Verdana"/>
          <w:sz w:val="20"/>
          <w:szCs w:val="20"/>
          <w:lang w:val="pt-BR"/>
        </w:rPr>
        <w:t xml:space="preserve"> questão</w:t>
      </w:r>
      <w:r w:rsidR="008C6214" w:rsidRPr="001B4EA4">
        <w:rPr>
          <w:rFonts w:ascii="Verdana" w:hAnsi="Verdana"/>
          <w:sz w:val="20"/>
          <w:szCs w:val="20"/>
          <w:lang w:val="pt-BR"/>
        </w:rPr>
        <w:t>: se seriam</w:t>
      </w:r>
      <w:r w:rsidR="00676C60" w:rsidRPr="001B4EA4">
        <w:rPr>
          <w:rFonts w:ascii="Verdana" w:hAnsi="Verdana"/>
          <w:sz w:val="20"/>
          <w:szCs w:val="20"/>
          <w:lang w:val="pt-BR"/>
        </w:rPr>
        <w:t xml:space="preserve"> os objetivos sociais identificados suficientemente relevantes para compensar os custos de manutenção de uma empresa estatal. Neste </w:t>
      </w:r>
      <w:r w:rsidR="005819A9">
        <w:rPr>
          <w:rFonts w:ascii="Verdana" w:hAnsi="Verdana"/>
          <w:sz w:val="20"/>
          <w:szCs w:val="20"/>
          <w:lang w:val="pt-BR"/>
        </w:rPr>
        <w:t>aspecto</w:t>
      </w:r>
      <w:r w:rsidR="00676C60" w:rsidRPr="001B4EA4">
        <w:rPr>
          <w:rFonts w:ascii="Verdana" w:hAnsi="Verdana"/>
          <w:sz w:val="20"/>
          <w:szCs w:val="20"/>
          <w:lang w:val="pt-BR"/>
        </w:rPr>
        <w:t>, importante notar que o</w:t>
      </w:r>
      <w:r w:rsidR="008C6214" w:rsidRPr="001B4EA4">
        <w:rPr>
          <w:rFonts w:ascii="Verdana" w:hAnsi="Verdana"/>
          <w:sz w:val="20"/>
          <w:szCs w:val="20"/>
          <w:lang w:val="pt-BR"/>
        </w:rPr>
        <w:t>s custos de manutenção envolvem</w:t>
      </w:r>
      <w:r w:rsidR="00676C60" w:rsidRPr="001B4EA4">
        <w:rPr>
          <w:rFonts w:ascii="Verdana" w:hAnsi="Verdana"/>
          <w:sz w:val="20"/>
          <w:szCs w:val="20"/>
          <w:lang w:val="pt-BR"/>
        </w:rPr>
        <w:t xml:space="preserve"> não apenas despesas </w:t>
      </w:r>
      <w:r w:rsidR="008C6214" w:rsidRPr="001B4EA4">
        <w:rPr>
          <w:rFonts w:ascii="Verdana" w:hAnsi="Verdana"/>
          <w:sz w:val="20"/>
          <w:szCs w:val="20"/>
          <w:lang w:val="pt-BR"/>
        </w:rPr>
        <w:t xml:space="preserve">diretas </w:t>
      </w:r>
      <w:r w:rsidR="00676C60" w:rsidRPr="001B4EA4">
        <w:rPr>
          <w:rFonts w:ascii="Verdana" w:hAnsi="Verdana"/>
          <w:sz w:val="20"/>
          <w:szCs w:val="20"/>
          <w:lang w:val="pt-BR"/>
        </w:rPr>
        <w:t>do Tesouro, como também pos</w:t>
      </w:r>
      <w:r w:rsidR="008C6214" w:rsidRPr="001B4EA4">
        <w:rPr>
          <w:rFonts w:ascii="Verdana" w:hAnsi="Verdana"/>
          <w:sz w:val="20"/>
          <w:szCs w:val="20"/>
          <w:lang w:val="pt-BR"/>
        </w:rPr>
        <w:t xml:space="preserve">síveis ineficiências </w:t>
      </w:r>
      <w:r w:rsidR="005819A9">
        <w:rPr>
          <w:rFonts w:ascii="Verdana" w:hAnsi="Verdana"/>
          <w:sz w:val="20"/>
          <w:szCs w:val="20"/>
          <w:lang w:val="pt-BR"/>
        </w:rPr>
        <w:t>decorrentes.</w:t>
      </w:r>
    </w:p>
    <w:p w14:paraId="46616F1B" w14:textId="471473E2" w:rsidR="00676C60" w:rsidRPr="001B4EA4" w:rsidRDefault="00C04ABE" w:rsidP="001B4EA4">
      <w:pPr>
        <w:spacing w:line="276" w:lineRule="auto"/>
        <w:ind w:firstLine="708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 xml:space="preserve">Caso os </w:t>
      </w:r>
      <w:r w:rsidR="00676C60" w:rsidRPr="001B4EA4">
        <w:rPr>
          <w:rFonts w:ascii="Verdana" w:hAnsi="Verdana"/>
          <w:sz w:val="20"/>
          <w:szCs w:val="20"/>
          <w:lang w:val="pt-BR"/>
        </w:rPr>
        <w:t xml:space="preserve">objetivos sociais identificados </w:t>
      </w:r>
      <w:r w:rsidRPr="001B4EA4">
        <w:rPr>
          <w:rFonts w:ascii="Verdana" w:hAnsi="Verdana"/>
          <w:sz w:val="20"/>
          <w:szCs w:val="20"/>
          <w:lang w:val="pt-BR"/>
        </w:rPr>
        <w:t>sejam reputados como</w:t>
      </w:r>
      <w:r w:rsidR="00676C60" w:rsidRPr="001B4EA4">
        <w:rPr>
          <w:rFonts w:ascii="Verdana" w:hAnsi="Verdana"/>
          <w:sz w:val="20"/>
          <w:szCs w:val="20"/>
          <w:lang w:val="pt-BR"/>
        </w:rPr>
        <w:t xml:space="preserve"> suficientemente r</w:t>
      </w:r>
      <w:r w:rsidR="00676C60" w:rsidRPr="007135F8">
        <w:rPr>
          <w:rFonts w:ascii="Verdana" w:hAnsi="Verdana"/>
          <w:sz w:val="20"/>
          <w:szCs w:val="20"/>
          <w:lang w:val="pt-BR"/>
        </w:rPr>
        <w:t>elevantes, sugere-se a manutenção da empresa com controle estatal.</w:t>
      </w:r>
      <w:r w:rsidR="00EF1DF1" w:rsidRPr="007135F8">
        <w:rPr>
          <w:rFonts w:ascii="Verdana" w:hAnsi="Verdana"/>
          <w:sz w:val="20"/>
          <w:szCs w:val="20"/>
          <w:lang w:val="pt-BR"/>
        </w:rPr>
        <w:t xml:space="preserve"> </w:t>
      </w:r>
      <w:r w:rsidR="003F164C" w:rsidRPr="007135F8">
        <w:rPr>
          <w:rFonts w:ascii="Verdana" w:hAnsi="Verdana"/>
          <w:sz w:val="20"/>
          <w:szCs w:val="20"/>
          <w:lang w:val="pt-BR"/>
        </w:rPr>
        <w:t>D</w:t>
      </w:r>
      <w:r w:rsidR="00676C60" w:rsidRPr="007135F8">
        <w:rPr>
          <w:rFonts w:ascii="Verdana" w:hAnsi="Verdana"/>
          <w:sz w:val="20"/>
          <w:szCs w:val="20"/>
          <w:lang w:val="pt-BR"/>
        </w:rPr>
        <w:t>estaca-se</w:t>
      </w:r>
      <w:r w:rsidR="003F164C" w:rsidRPr="007135F8">
        <w:rPr>
          <w:rFonts w:ascii="Verdana" w:hAnsi="Verdana"/>
          <w:sz w:val="20"/>
          <w:szCs w:val="20"/>
          <w:lang w:val="pt-BR"/>
        </w:rPr>
        <w:t>, entretanto,</w:t>
      </w:r>
      <w:r w:rsidR="00676C60" w:rsidRPr="007135F8">
        <w:rPr>
          <w:rFonts w:ascii="Verdana" w:hAnsi="Verdana"/>
          <w:sz w:val="20"/>
          <w:szCs w:val="20"/>
          <w:lang w:val="pt-BR"/>
        </w:rPr>
        <w:t xml:space="preserve"> a necessidade de </w:t>
      </w:r>
      <w:r w:rsidR="00921D2F" w:rsidRPr="007135F8">
        <w:rPr>
          <w:rFonts w:ascii="Verdana" w:hAnsi="Verdana"/>
          <w:sz w:val="20"/>
          <w:szCs w:val="20"/>
          <w:lang w:val="pt-BR"/>
        </w:rPr>
        <w:t>garantia de</w:t>
      </w:r>
      <w:r w:rsidR="00676C60" w:rsidRPr="007135F8">
        <w:rPr>
          <w:rFonts w:ascii="Verdana" w:hAnsi="Verdana"/>
          <w:sz w:val="20"/>
          <w:szCs w:val="20"/>
          <w:lang w:val="pt-BR"/>
        </w:rPr>
        <w:t xml:space="preserve"> alinhamento à</w:t>
      </w:r>
      <w:r w:rsidR="00921D2F" w:rsidRPr="007135F8">
        <w:rPr>
          <w:rFonts w:ascii="Verdana" w:hAnsi="Verdana"/>
          <w:sz w:val="20"/>
          <w:szCs w:val="20"/>
          <w:lang w:val="pt-BR"/>
        </w:rPr>
        <w:t>s</w:t>
      </w:r>
      <w:r w:rsidR="00676C60" w:rsidRPr="007135F8">
        <w:rPr>
          <w:rFonts w:ascii="Verdana" w:hAnsi="Verdana"/>
          <w:sz w:val="20"/>
          <w:szCs w:val="20"/>
          <w:lang w:val="pt-BR"/>
        </w:rPr>
        <w:t xml:space="preserve"> diretrizes da legislação relevante e </w:t>
      </w:r>
      <w:r w:rsidR="00921D2F" w:rsidRPr="007135F8">
        <w:rPr>
          <w:rFonts w:ascii="Verdana" w:hAnsi="Verdana"/>
          <w:sz w:val="20"/>
          <w:szCs w:val="20"/>
          <w:lang w:val="pt-BR"/>
        </w:rPr>
        <w:t>de</w:t>
      </w:r>
      <w:r w:rsidR="00921D2F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="00676C60" w:rsidRPr="001B4EA4">
        <w:rPr>
          <w:rFonts w:ascii="Verdana" w:hAnsi="Verdana"/>
          <w:sz w:val="20"/>
          <w:szCs w:val="20"/>
          <w:lang w:val="pt-BR"/>
        </w:rPr>
        <w:t xml:space="preserve">monitoramento do seu desempenho e </w:t>
      </w:r>
      <w:r w:rsidR="00921D2F" w:rsidRPr="001B4EA4">
        <w:rPr>
          <w:rFonts w:ascii="Verdana" w:hAnsi="Verdana"/>
          <w:sz w:val="20"/>
          <w:szCs w:val="20"/>
          <w:lang w:val="pt-BR"/>
        </w:rPr>
        <w:t xml:space="preserve">de </w:t>
      </w:r>
      <w:r w:rsidR="00676C60" w:rsidRPr="001B4EA4">
        <w:rPr>
          <w:rFonts w:ascii="Verdana" w:hAnsi="Verdana"/>
          <w:sz w:val="20"/>
          <w:szCs w:val="20"/>
          <w:lang w:val="pt-BR"/>
        </w:rPr>
        <w:t xml:space="preserve">padrões de governança. Esse papel pode ser mantido sob a responsabilidade </w:t>
      </w:r>
      <w:r w:rsidR="00726430" w:rsidRPr="001B4EA4">
        <w:rPr>
          <w:rFonts w:ascii="Verdana" w:hAnsi="Verdana"/>
          <w:sz w:val="20"/>
          <w:szCs w:val="20"/>
          <w:lang w:val="pt-BR"/>
        </w:rPr>
        <w:t xml:space="preserve">de um órgão claramente identificado na administração do ente estatal (municipal, estadual ou federal). </w:t>
      </w:r>
    </w:p>
    <w:p w14:paraId="0C5767B2" w14:textId="40D94208" w:rsidR="00B77231" w:rsidRPr="00571EFE" w:rsidRDefault="00883F88" w:rsidP="001B4EA4">
      <w:pPr>
        <w:spacing w:line="276" w:lineRule="auto"/>
        <w:ind w:firstLine="708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>Não sendo suficientemente relevantes os objetivos sociais quando confrontados com os custos,</w:t>
      </w:r>
      <w:r w:rsidR="005B592A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="00926494">
        <w:rPr>
          <w:rFonts w:ascii="Verdana" w:hAnsi="Verdana"/>
          <w:sz w:val="20"/>
          <w:szCs w:val="20"/>
          <w:lang w:val="pt-BR"/>
        </w:rPr>
        <w:t>se as externalidades negativas forem excessivas</w:t>
      </w:r>
      <w:r w:rsidR="00926494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="00926494">
        <w:rPr>
          <w:rFonts w:ascii="Verdana" w:hAnsi="Verdana"/>
          <w:sz w:val="20"/>
          <w:szCs w:val="20"/>
          <w:lang w:val="pt-BR"/>
        </w:rPr>
        <w:t xml:space="preserve">ou </w:t>
      </w:r>
      <w:r w:rsidR="005B592A" w:rsidRPr="001B4EA4">
        <w:rPr>
          <w:rFonts w:ascii="Verdana" w:hAnsi="Verdana"/>
          <w:sz w:val="20"/>
          <w:szCs w:val="20"/>
          <w:lang w:val="pt-BR"/>
        </w:rPr>
        <w:t>se a privatização não for economicamente viável</w:t>
      </w:r>
      <w:r w:rsidR="0075481C">
        <w:rPr>
          <w:rFonts w:ascii="Verdana" w:hAnsi="Verdana"/>
          <w:sz w:val="20"/>
          <w:szCs w:val="20"/>
          <w:lang w:val="pt-BR"/>
        </w:rPr>
        <w:t xml:space="preserve">, </w:t>
      </w:r>
      <w:r w:rsidRPr="001B4EA4">
        <w:rPr>
          <w:rFonts w:ascii="Verdana" w:hAnsi="Verdana"/>
          <w:sz w:val="20"/>
          <w:szCs w:val="20"/>
          <w:lang w:val="pt-BR"/>
        </w:rPr>
        <w:t>deve</w:t>
      </w:r>
      <w:r w:rsidR="005B592A" w:rsidRPr="001B4EA4">
        <w:rPr>
          <w:rFonts w:ascii="Verdana" w:hAnsi="Verdana"/>
          <w:sz w:val="20"/>
          <w:szCs w:val="20"/>
          <w:lang w:val="pt-BR"/>
        </w:rPr>
        <w:t xml:space="preserve">m </w:t>
      </w:r>
      <w:r w:rsidRPr="001B4EA4">
        <w:rPr>
          <w:rFonts w:ascii="Verdana" w:hAnsi="Verdana"/>
          <w:sz w:val="20"/>
          <w:szCs w:val="20"/>
          <w:lang w:val="pt-BR"/>
        </w:rPr>
        <w:t>se</w:t>
      </w:r>
      <w:r w:rsidR="005B592A" w:rsidRPr="001B4EA4">
        <w:rPr>
          <w:rFonts w:ascii="Verdana" w:hAnsi="Verdana"/>
          <w:sz w:val="20"/>
          <w:szCs w:val="20"/>
          <w:lang w:val="pt-BR"/>
        </w:rPr>
        <w:t>r</w:t>
      </w:r>
      <w:r w:rsidRPr="001B4EA4">
        <w:rPr>
          <w:rFonts w:ascii="Verdana" w:hAnsi="Verdana"/>
          <w:sz w:val="20"/>
          <w:szCs w:val="20"/>
          <w:lang w:val="pt-BR"/>
        </w:rPr>
        <w:t xml:space="preserve"> considera</w:t>
      </w:r>
      <w:r w:rsidR="00EF1DF1" w:rsidRPr="001B4EA4">
        <w:rPr>
          <w:rFonts w:ascii="Verdana" w:hAnsi="Verdana"/>
          <w:sz w:val="20"/>
          <w:szCs w:val="20"/>
          <w:lang w:val="pt-BR"/>
        </w:rPr>
        <w:t>da</w:t>
      </w:r>
      <w:r w:rsidR="005B592A" w:rsidRPr="001B4EA4">
        <w:rPr>
          <w:rFonts w:ascii="Verdana" w:hAnsi="Verdana"/>
          <w:sz w:val="20"/>
          <w:szCs w:val="20"/>
          <w:lang w:val="pt-BR"/>
        </w:rPr>
        <w:t>s</w:t>
      </w:r>
      <w:r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="005B592A" w:rsidRPr="001B4EA4">
        <w:rPr>
          <w:rFonts w:ascii="Verdana" w:hAnsi="Verdana"/>
          <w:sz w:val="20"/>
          <w:szCs w:val="20"/>
          <w:lang w:val="pt-BR"/>
        </w:rPr>
        <w:t xml:space="preserve">as possibilidades de venda de ativos isolados, </w:t>
      </w:r>
      <w:r w:rsidRPr="001B4EA4">
        <w:rPr>
          <w:rFonts w:ascii="Verdana" w:hAnsi="Verdana"/>
          <w:sz w:val="20"/>
          <w:szCs w:val="20"/>
          <w:lang w:val="pt-BR"/>
        </w:rPr>
        <w:t>encerramento das atividades da estatal ou a passagem das suas atividades para outras áreas do Estado</w:t>
      </w:r>
      <w:r w:rsidR="00921D2F" w:rsidRPr="001B4EA4">
        <w:rPr>
          <w:rFonts w:ascii="Verdana" w:hAnsi="Verdana"/>
          <w:sz w:val="20"/>
          <w:szCs w:val="20"/>
          <w:lang w:val="pt-BR"/>
        </w:rPr>
        <w:t xml:space="preserve">, de forma que os </w:t>
      </w:r>
      <w:r w:rsidRPr="001B4EA4">
        <w:rPr>
          <w:rFonts w:ascii="Verdana" w:hAnsi="Verdana"/>
          <w:sz w:val="20"/>
          <w:szCs w:val="20"/>
          <w:lang w:val="pt-BR"/>
        </w:rPr>
        <w:t>custos de execução compensem os benefícios esperados.</w:t>
      </w:r>
    </w:p>
    <w:p w14:paraId="74DC886C" w14:textId="1031C8AC" w:rsidR="00D13C15" w:rsidRPr="001B4EA4" w:rsidRDefault="005B592A" w:rsidP="001B4EA4">
      <w:pPr>
        <w:spacing w:line="276" w:lineRule="auto"/>
        <w:ind w:firstLine="708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 xml:space="preserve"> </w:t>
      </w:r>
    </w:p>
    <w:p w14:paraId="66358F06" w14:textId="08DA25E2" w:rsidR="00F563BB" w:rsidRPr="00215482" w:rsidRDefault="008F2CBB" w:rsidP="001B4EA4">
      <w:pPr>
        <w:pStyle w:val="Ttulo3"/>
        <w:spacing w:line="276" w:lineRule="auto"/>
        <w:jc w:val="both"/>
        <w:rPr>
          <w:rFonts w:ascii="Verdana" w:hAnsi="Verdana"/>
          <w:b/>
          <w:sz w:val="20"/>
          <w:szCs w:val="20"/>
          <w:lang w:val="pt-BR"/>
        </w:rPr>
      </w:pPr>
      <w:bookmarkStart w:id="11" w:name="_Toc16866202"/>
      <w:bookmarkStart w:id="12" w:name="_Toc16866203"/>
      <w:bookmarkStart w:id="13" w:name="_Toc16866204"/>
      <w:bookmarkStart w:id="14" w:name="_Toc16866205"/>
      <w:bookmarkStart w:id="15" w:name="_Toc16866206"/>
      <w:bookmarkStart w:id="16" w:name="_Toc16866207"/>
      <w:bookmarkStart w:id="17" w:name="_Toc16866208"/>
      <w:bookmarkStart w:id="18" w:name="_Toc16866209"/>
      <w:bookmarkStart w:id="19" w:name="_Ref14686647"/>
      <w:bookmarkStart w:id="20" w:name="_Ref14689388"/>
      <w:bookmarkStart w:id="21" w:name="_Toc20752233"/>
      <w:bookmarkStart w:id="22" w:name="_Toc9262639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215482">
        <w:rPr>
          <w:rFonts w:ascii="Verdana" w:hAnsi="Verdana"/>
          <w:b/>
          <w:sz w:val="20"/>
          <w:szCs w:val="20"/>
          <w:lang w:val="pt-BR"/>
        </w:rPr>
        <w:t xml:space="preserve">1.2 </w:t>
      </w:r>
      <w:r w:rsidR="000C0EDF" w:rsidRPr="00215482">
        <w:rPr>
          <w:rFonts w:ascii="Verdana" w:hAnsi="Verdana"/>
          <w:b/>
          <w:sz w:val="20"/>
          <w:szCs w:val="20"/>
          <w:lang w:val="pt-BR"/>
        </w:rPr>
        <w:t>E</w:t>
      </w:r>
      <w:r w:rsidR="004E04FE" w:rsidRPr="00215482">
        <w:rPr>
          <w:rFonts w:ascii="Verdana" w:hAnsi="Verdana"/>
          <w:b/>
          <w:sz w:val="20"/>
          <w:szCs w:val="20"/>
          <w:lang w:val="pt-BR"/>
        </w:rPr>
        <w:t>studos preparatórios</w:t>
      </w:r>
      <w:bookmarkEnd w:id="19"/>
      <w:bookmarkEnd w:id="20"/>
      <w:bookmarkEnd w:id="21"/>
      <w:r w:rsidR="000C5BCA" w:rsidRPr="00215482">
        <w:rPr>
          <w:rFonts w:ascii="Verdana" w:hAnsi="Verdana"/>
          <w:b/>
          <w:sz w:val="20"/>
          <w:szCs w:val="20"/>
          <w:lang w:val="pt-BR"/>
        </w:rPr>
        <w:t xml:space="preserve"> </w:t>
      </w:r>
    </w:p>
    <w:p w14:paraId="60EC1A04" w14:textId="77777777" w:rsidR="00B77231" w:rsidRPr="001B4EA4" w:rsidRDefault="00B77231" w:rsidP="001B4EA4">
      <w:pPr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</w:p>
    <w:p w14:paraId="10B9BC9E" w14:textId="52C5EBA2" w:rsidR="000C1503" w:rsidRPr="001B4EA4" w:rsidRDefault="00F563BB" w:rsidP="001B4EA4">
      <w:pPr>
        <w:spacing w:line="276" w:lineRule="auto"/>
        <w:ind w:firstLine="708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 xml:space="preserve">Algumas </w:t>
      </w:r>
      <w:r w:rsidR="00921D2F" w:rsidRPr="001B4EA4">
        <w:rPr>
          <w:rFonts w:ascii="Verdana" w:hAnsi="Verdana"/>
          <w:sz w:val="20"/>
          <w:szCs w:val="20"/>
          <w:lang w:val="pt-BR"/>
        </w:rPr>
        <w:t>ações</w:t>
      </w:r>
      <w:r w:rsidRPr="001B4EA4">
        <w:rPr>
          <w:rFonts w:ascii="Verdana" w:hAnsi="Verdana"/>
          <w:sz w:val="20"/>
          <w:szCs w:val="20"/>
          <w:lang w:val="pt-BR"/>
        </w:rPr>
        <w:t xml:space="preserve"> devem preceder a fase externa</w:t>
      </w:r>
      <w:r w:rsidR="00F44F84" w:rsidRPr="001B4EA4">
        <w:rPr>
          <w:rStyle w:val="Refdenotaderodap"/>
          <w:rFonts w:ascii="Verdana" w:hAnsi="Verdana"/>
          <w:sz w:val="20"/>
          <w:szCs w:val="20"/>
          <w:lang w:val="pt-BR"/>
        </w:rPr>
        <w:footnoteReference w:id="5"/>
      </w:r>
      <w:r w:rsidRPr="001B4EA4">
        <w:rPr>
          <w:rFonts w:ascii="Verdana" w:hAnsi="Verdana"/>
          <w:sz w:val="20"/>
          <w:szCs w:val="20"/>
          <w:lang w:val="pt-BR"/>
        </w:rPr>
        <w:t xml:space="preserve"> da privatização para </w:t>
      </w:r>
      <w:r w:rsidR="00921D2F" w:rsidRPr="001B4EA4">
        <w:rPr>
          <w:rFonts w:ascii="Verdana" w:hAnsi="Verdana"/>
          <w:sz w:val="20"/>
          <w:szCs w:val="20"/>
          <w:lang w:val="pt-BR"/>
        </w:rPr>
        <w:t xml:space="preserve">se </w:t>
      </w:r>
      <w:r w:rsidRPr="001B4EA4">
        <w:rPr>
          <w:rFonts w:ascii="Verdana" w:hAnsi="Verdana"/>
          <w:sz w:val="20"/>
          <w:szCs w:val="20"/>
          <w:lang w:val="pt-BR"/>
        </w:rPr>
        <w:t xml:space="preserve">assegurar que os objetivos públicos que a justificam sejam cumpridos de </w:t>
      </w:r>
      <w:r w:rsidR="00BD0269" w:rsidRPr="001B4EA4">
        <w:rPr>
          <w:rFonts w:ascii="Verdana" w:hAnsi="Verdana"/>
          <w:sz w:val="20"/>
          <w:szCs w:val="20"/>
          <w:lang w:val="pt-BR"/>
        </w:rPr>
        <w:t>forma eficiente e com atratividade econômica ao investidor.</w:t>
      </w:r>
      <w:r w:rsidRPr="001B4EA4">
        <w:rPr>
          <w:rFonts w:ascii="Verdana" w:hAnsi="Verdana"/>
          <w:sz w:val="20"/>
          <w:szCs w:val="20"/>
          <w:lang w:val="pt-BR"/>
        </w:rPr>
        <w:t xml:space="preserve"> </w:t>
      </w:r>
    </w:p>
    <w:p w14:paraId="73BF4BF6" w14:textId="33057B22" w:rsidR="000C5BCA" w:rsidRPr="001B4EA4" w:rsidRDefault="00F563BB" w:rsidP="001B4EA4">
      <w:pPr>
        <w:spacing w:line="276" w:lineRule="auto"/>
        <w:ind w:firstLine="708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>Es</w:t>
      </w:r>
      <w:r w:rsidR="00921D2F" w:rsidRPr="001B4EA4">
        <w:rPr>
          <w:rFonts w:ascii="Verdana" w:hAnsi="Verdana"/>
          <w:sz w:val="20"/>
          <w:szCs w:val="20"/>
          <w:lang w:val="pt-BR"/>
        </w:rPr>
        <w:t>s</w:t>
      </w:r>
      <w:r w:rsidRPr="001B4EA4">
        <w:rPr>
          <w:rFonts w:ascii="Verdana" w:hAnsi="Verdana"/>
          <w:sz w:val="20"/>
          <w:szCs w:val="20"/>
          <w:lang w:val="pt-BR"/>
        </w:rPr>
        <w:t xml:space="preserve">as práticas buscam o atendimento diligente dos requisitos legais, a economicidade e </w:t>
      </w:r>
      <w:r w:rsidR="00921D2F" w:rsidRPr="001B4EA4">
        <w:rPr>
          <w:rFonts w:ascii="Verdana" w:hAnsi="Verdana"/>
          <w:sz w:val="20"/>
          <w:szCs w:val="20"/>
          <w:lang w:val="pt-BR"/>
        </w:rPr>
        <w:t xml:space="preserve">a </w:t>
      </w:r>
      <w:r w:rsidRPr="001B4EA4">
        <w:rPr>
          <w:rFonts w:ascii="Verdana" w:hAnsi="Verdana"/>
          <w:sz w:val="20"/>
          <w:szCs w:val="20"/>
          <w:lang w:val="pt-BR"/>
        </w:rPr>
        <w:t xml:space="preserve">eficiência da privatização, o desempenho e </w:t>
      </w:r>
      <w:r w:rsidR="00921D2F" w:rsidRPr="001B4EA4">
        <w:rPr>
          <w:rFonts w:ascii="Verdana" w:hAnsi="Verdana"/>
          <w:sz w:val="20"/>
          <w:szCs w:val="20"/>
          <w:lang w:val="pt-BR"/>
        </w:rPr>
        <w:t xml:space="preserve">a </w:t>
      </w:r>
      <w:r w:rsidRPr="001B4EA4">
        <w:rPr>
          <w:rFonts w:ascii="Verdana" w:hAnsi="Verdana"/>
          <w:sz w:val="20"/>
          <w:szCs w:val="20"/>
          <w:lang w:val="pt-BR"/>
        </w:rPr>
        <w:t xml:space="preserve">eficiência </w:t>
      </w:r>
      <w:r w:rsidR="00921D2F" w:rsidRPr="001B4EA4">
        <w:rPr>
          <w:rFonts w:ascii="Verdana" w:hAnsi="Verdana"/>
          <w:sz w:val="20"/>
          <w:szCs w:val="20"/>
          <w:lang w:val="pt-BR"/>
        </w:rPr>
        <w:t>produtiva, a motivação adequada</w:t>
      </w:r>
      <w:r w:rsidRPr="001B4EA4">
        <w:rPr>
          <w:rFonts w:ascii="Verdana" w:hAnsi="Verdana"/>
          <w:sz w:val="20"/>
          <w:szCs w:val="20"/>
          <w:lang w:val="pt-BR"/>
        </w:rPr>
        <w:t xml:space="preserve"> e a observância aos princípios que regem a </w:t>
      </w:r>
      <w:r w:rsidR="00921D2F" w:rsidRPr="001B4EA4">
        <w:rPr>
          <w:rFonts w:ascii="Verdana" w:hAnsi="Verdana"/>
          <w:sz w:val="20"/>
          <w:szCs w:val="20"/>
          <w:lang w:val="pt-BR"/>
        </w:rPr>
        <w:t>a</w:t>
      </w:r>
      <w:r w:rsidRPr="001B4EA4">
        <w:rPr>
          <w:rFonts w:ascii="Verdana" w:hAnsi="Verdana"/>
          <w:sz w:val="20"/>
          <w:szCs w:val="20"/>
          <w:lang w:val="pt-BR"/>
        </w:rPr>
        <w:t xml:space="preserve">dministração </w:t>
      </w:r>
      <w:r w:rsidR="00921D2F" w:rsidRPr="001B4EA4">
        <w:rPr>
          <w:rFonts w:ascii="Verdana" w:hAnsi="Verdana"/>
          <w:sz w:val="20"/>
          <w:szCs w:val="20"/>
          <w:lang w:val="pt-BR"/>
        </w:rPr>
        <w:t>p</w:t>
      </w:r>
      <w:r w:rsidRPr="001B4EA4">
        <w:rPr>
          <w:rFonts w:ascii="Verdana" w:hAnsi="Verdana"/>
          <w:sz w:val="20"/>
          <w:szCs w:val="20"/>
          <w:lang w:val="pt-BR"/>
        </w:rPr>
        <w:t>ública.</w:t>
      </w:r>
    </w:p>
    <w:p w14:paraId="6370FD1B" w14:textId="12AD0253" w:rsidR="000C1503" w:rsidRPr="001B4EA4" w:rsidRDefault="00F563BB" w:rsidP="001B4EA4">
      <w:pPr>
        <w:spacing w:line="276" w:lineRule="auto"/>
        <w:ind w:firstLine="708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 xml:space="preserve">A condução adequada das atividades preparatórias confere segurança jurídica ao processo, atestando sua regularidade </w:t>
      </w:r>
      <w:r w:rsidR="00921D2F" w:rsidRPr="001B4EA4">
        <w:rPr>
          <w:rFonts w:ascii="Verdana" w:hAnsi="Verdana"/>
          <w:sz w:val="20"/>
          <w:szCs w:val="20"/>
          <w:lang w:val="pt-BR"/>
        </w:rPr>
        <w:t>diante de</w:t>
      </w:r>
      <w:r w:rsidRPr="001B4EA4">
        <w:rPr>
          <w:rFonts w:ascii="Verdana" w:hAnsi="Verdana"/>
          <w:sz w:val="20"/>
          <w:szCs w:val="20"/>
          <w:lang w:val="pt-BR"/>
        </w:rPr>
        <w:t xml:space="preserve"> órgãos e autoridades de controle, como tribunais de contas, Poder Legi</w:t>
      </w:r>
      <w:r w:rsidR="00925472" w:rsidRPr="001B4EA4">
        <w:rPr>
          <w:rFonts w:ascii="Verdana" w:hAnsi="Verdana"/>
          <w:sz w:val="20"/>
          <w:szCs w:val="20"/>
          <w:lang w:val="pt-BR"/>
        </w:rPr>
        <w:t xml:space="preserve">slativo, </w:t>
      </w:r>
      <w:r w:rsidRPr="001B4EA4">
        <w:rPr>
          <w:rFonts w:ascii="Verdana" w:hAnsi="Verdana"/>
          <w:sz w:val="20"/>
          <w:szCs w:val="20"/>
          <w:lang w:val="pt-BR"/>
        </w:rPr>
        <w:t>Ministério Púbico</w:t>
      </w:r>
      <w:r w:rsidR="00925472" w:rsidRPr="001B4EA4">
        <w:rPr>
          <w:rFonts w:ascii="Verdana" w:hAnsi="Verdana"/>
          <w:sz w:val="20"/>
          <w:szCs w:val="20"/>
          <w:lang w:val="pt-BR"/>
        </w:rPr>
        <w:t>, entre outros</w:t>
      </w:r>
      <w:r w:rsidRPr="001B4EA4">
        <w:rPr>
          <w:rFonts w:ascii="Verdana" w:hAnsi="Verdana"/>
          <w:sz w:val="20"/>
          <w:szCs w:val="20"/>
          <w:lang w:val="pt-BR"/>
        </w:rPr>
        <w:t>.</w:t>
      </w:r>
      <w:r w:rsidR="00275ED3" w:rsidRPr="001B4EA4">
        <w:rPr>
          <w:rFonts w:ascii="Verdana" w:hAnsi="Verdana"/>
          <w:sz w:val="20"/>
          <w:szCs w:val="20"/>
          <w:lang w:val="pt-BR"/>
        </w:rPr>
        <w:t xml:space="preserve"> </w:t>
      </w:r>
    </w:p>
    <w:p w14:paraId="5EF00002" w14:textId="50845DA1" w:rsidR="00F563BB" w:rsidRPr="001B4EA4" w:rsidRDefault="00F563BB" w:rsidP="001B4EA4">
      <w:pPr>
        <w:spacing w:line="276" w:lineRule="auto"/>
        <w:ind w:firstLine="708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>Além disso,</w:t>
      </w:r>
      <w:r w:rsidR="00925472" w:rsidRPr="001B4EA4">
        <w:rPr>
          <w:rFonts w:ascii="Verdana" w:hAnsi="Verdana"/>
          <w:sz w:val="20"/>
          <w:szCs w:val="20"/>
          <w:lang w:val="pt-BR"/>
        </w:rPr>
        <w:t xml:space="preserve"> a existência de</w:t>
      </w:r>
      <w:r w:rsidRPr="001B4EA4">
        <w:rPr>
          <w:rFonts w:ascii="Verdana" w:hAnsi="Verdana"/>
          <w:sz w:val="20"/>
          <w:szCs w:val="20"/>
          <w:lang w:val="pt-BR"/>
        </w:rPr>
        <w:t xml:space="preserve"> clareza no propósito da decisão</w:t>
      </w:r>
      <w:r w:rsidR="00925472" w:rsidRPr="001B4EA4">
        <w:rPr>
          <w:rFonts w:ascii="Verdana" w:hAnsi="Verdana"/>
          <w:sz w:val="20"/>
          <w:szCs w:val="20"/>
          <w:lang w:val="pt-BR"/>
        </w:rPr>
        <w:t xml:space="preserve"> —</w:t>
      </w:r>
      <w:r w:rsidRPr="001B4EA4">
        <w:rPr>
          <w:rFonts w:ascii="Verdana" w:hAnsi="Verdana"/>
          <w:sz w:val="20"/>
          <w:szCs w:val="20"/>
          <w:lang w:val="pt-BR"/>
        </w:rPr>
        <w:t xml:space="preserve"> com </w:t>
      </w:r>
      <w:r w:rsidR="00974DB6" w:rsidRPr="001B4EA4">
        <w:rPr>
          <w:rFonts w:ascii="Verdana" w:hAnsi="Verdana"/>
          <w:sz w:val="20"/>
          <w:szCs w:val="20"/>
          <w:lang w:val="pt-BR"/>
        </w:rPr>
        <w:t>a</w:t>
      </w:r>
      <w:r w:rsidRPr="001B4EA4">
        <w:rPr>
          <w:rFonts w:ascii="Verdana" w:hAnsi="Verdana"/>
          <w:sz w:val="20"/>
          <w:szCs w:val="20"/>
          <w:lang w:val="pt-BR"/>
        </w:rPr>
        <w:t xml:space="preserve"> devida fundamentação técnica, embasada em estudos objetiv</w:t>
      </w:r>
      <w:r w:rsidR="002065DA" w:rsidRPr="001B4EA4">
        <w:rPr>
          <w:rFonts w:ascii="Verdana" w:hAnsi="Verdana"/>
          <w:sz w:val="20"/>
          <w:szCs w:val="20"/>
          <w:lang w:val="pt-BR"/>
        </w:rPr>
        <w:t>os,</w:t>
      </w:r>
      <w:r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="00925472" w:rsidRPr="001B4EA4">
        <w:rPr>
          <w:rFonts w:ascii="Verdana" w:hAnsi="Verdana"/>
          <w:sz w:val="20"/>
          <w:szCs w:val="20"/>
          <w:lang w:val="pt-BR"/>
        </w:rPr>
        <w:t>distante de ideologias</w:t>
      </w:r>
      <w:r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="00925472" w:rsidRPr="001B4EA4">
        <w:rPr>
          <w:rFonts w:ascii="Verdana" w:hAnsi="Verdana"/>
          <w:sz w:val="20"/>
          <w:szCs w:val="20"/>
          <w:lang w:val="pt-BR"/>
        </w:rPr>
        <w:t xml:space="preserve">— </w:t>
      </w:r>
      <w:r w:rsidRPr="001B4EA4">
        <w:rPr>
          <w:rFonts w:ascii="Verdana" w:hAnsi="Verdana"/>
          <w:sz w:val="20"/>
          <w:szCs w:val="20"/>
          <w:lang w:val="pt-BR"/>
        </w:rPr>
        <w:t xml:space="preserve">tende a diminuir a chance de questionamentos, em especial </w:t>
      </w:r>
      <w:r w:rsidR="00925472" w:rsidRPr="001B4EA4">
        <w:rPr>
          <w:rFonts w:ascii="Verdana" w:hAnsi="Verdana"/>
          <w:sz w:val="20"/>
          <w:szCs w:val="20"/>
          <w:lang w:val="pt-BR"/>
        </w:rPr>
        <w:t>no</w:t>
      </w:r>
      <w:r w:rsidRPr="001B4EA4">
        <w:rPr>
          <w:rFonts w:ascii="Verdana" w:hAnsi="Verdana"/>
          <w:sz w:val="20"/>
          <w:szCs w:val="20"/>
          <w:lang w:val="pt-BR"/>
        </w:rPr>
        <w:t xml:space="preserve"> âmbito judicial.</w:t>
      </w:r>
      <w:r w:rsidR="00275ED3" w:rsidRPr="001B4EA4">
        <w:rPr>
          <w:rFonts w:ascii="Verdana" w:hAnsi="Verdana"/>
          <w:sz w:val="20"/>
          <w:szCs w:val="20"/>
          <w:lang w:val="pt-BR"/>
        </w:rPr>
        <w:t xml:space="preserve"> </w:t>
      </w:r>
    </w:p>
    <w:p w14:paraId="13DC7A95" w14:textId="77777777" w:rsidR="00B77231" w:rsidRPr="001B4EA4" w:rsidRDefault="00B77231" w:rsidP="001B4EA4">
      <w:pPr>
        <w:spacing w:line="276" w:lineRule="auto"/>
        <w:ind w:firstLine="708"/>
        <w:jc w:val="both"/>
        <w:rPr>
          <w:rFonts w:ascii="Verdana" w:hAnsi="Verdana"/>
          <w:sz w:val="20"/>
          <w:szCs w:val="20"/>
          <w:lang w:val="pt-BR"/>
        </w:rPr>
      </w:pPr>
    </w:p>
    <w:tbl>
      <w:tblPr>
        <w:tblStyle w:val="TabeladeLista3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D354D" w:rsidRPr="001B4EA4" w14:paraId="1BB8BF5B" w14:textId="77777777" w:rsidTr="002154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tcBorders>
              <w:right w:val="single" w:sz="4" w:space="0" w:color="000000"/>
            </w:tcBorders>
            <w:vAlign w:val="center"/>
          </w:tcPr>
          <w:p w14:paraId="786D7F47" w14:textId="77777777" w:rsidR="006D354D" w:rsidRPr="001B4EA4" w:rsidRDefault="006D354D" w:rsidP="001B4EA4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pt-BR"/>
              </w:rPr>
            </w:pPr>
            <w:r w:rsidRPr="001B4EA4">
              <w:rPr>
                <w:rFonts w:ascii="Verdana" w:hAnsi="Verdana"/>
                <w:sz w:val="20"/>
                <w:szCs w:val="20"/>
                <w:lang w:val="pt-BR"/>
              </w:rPr>
              <w:t>Recomendações</w:t>
            </w:r>
          </w:p>
        </w:tc>
      </w:tr>
      <w:tr w:rsidR="006D354D" w:rsidRPr="006F538F" w14:paraId="0808BD1E" w14:textId="77777777" w:rsidTr="002154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000000"/>
            </w:tcBorders>
            <w:vAlign w:val="center"/>
          </w:tcPr>
          <w:p w14:paraId="1991C394" w14:textId="1ED24C6A" w:rsidR="006D354D" w:rsidRPr="00157AE3" w:rsidRDefault="006D354D" w:rsidP="001B4EA4">
            <w:pPr>
              <w:spacing w:line="276" w:lineRule="auto"/>
              <w:jc w:val="both"/>
              <w:rPr>
                <w:rFonts w:ascii="Verdana" w:hAnsi="Verdana"/>
                <w:b w:val="0"/>
                <w:sz w:val="20"/>
                <w:szCs w:val="20"/>
                <w:lang w:val="pt-BR"/>
              </w:rPr>
            </w:pPr>
            <w:r w:rsidRPr="00157AE3">
              <w:rPr>
                <w:rFonts w:ascii="Verdana" w:hAnsi="Verdana"/>
                <w:b w:val="0"/>
                <w:sz w:val="20"/>
                <w:szCs w:val="20"/>
                <w:lang w:val="pt-BR"/>
              </w:rPr>
              <w:t xml:space="preserve">A privatização deve ser conduzida de </w:t>
            </w:r>
            <w:r w:rsidR="00925472" w:rsidRPr="00157AE3">
              <w:rPr>
                <w:rFonts w:ascii="Verdana" w:hAnsi="Verdana"/>
                <w:b w:val="0"/>
                <w:sz w:val="20"/>
                <w:szCs w:val="20"/>
                <w:lang w:val="pt-BR"/>
              </w:rPr>
              <w:t>maneira</w:t>
            </w:r>
            <w:r w:rsidRPr="00157AE3">
              <w:rPr>
                <w:rFonts w:ascii="Verdana" w:hAnsi="Verdana"/>
                <w:b w:val="0"/>
                <w:sz w:val="20"/>
                <w:szCs w:val="20"/>
                <w:lang w:val="pt-BR"/>
              </w:rPr>
              <w:t xml:space="preserve"> transparente, sendo aconselhável, dentre outros estudos preparatórios, uma profunda auditoria (</w:t>
            </w:r>
            <w:r w:rsidRPr="00157AE3">
              <w:rPr>
                <w:rFonts w:ascii="Verdana" w:hAnsi="Verdana"/>
                <w:b w:val="0"/>
                <w:i/>
                <w:sz w:val="20"/>
                <w:szCs w:val="20"/>
                <w:lang w:val="pt-BR"/>
              </w:rPr>
              <w:t>due diligence</w:t>
            </w:r>
            <w:r w:rsidRPr="00157AE3">
              <w:rPr>
                <w:rFonts w:ascii="Verdana" w:hAnsi="Verdana"/>
                <w:b w:val="0"/>
                <w:sz w:val="20"/>
                <w:szCs w:val="20"/>
                <w:lang w:val="pt-BR"/>
              </w:rPr>
              <w:t>)</w:t>
            </w:r>
            <w:r w:rsidR="00925472" w:rsidRPr="00157AE3">
              <w:rPr>
                <w:rFonts w:ascii="Verdana" w:hAnsi="Verdana"/>
                <w:b w:val="0"/>
                <w:sz w:val="20"/>
                <w:szCs w:val="20"/>
                <w:lang w:val="pt-BR"/>
              </w:rPr>
              <w:t>,</w:t>
            </w:r>
            <w:r w:rsidRPr="00157AE3">
              <w:rPr>
                <w:rFonts w:ascii="Verdana" w:hAnsi="Verdana"/>
                <w:b w:val="0"/>
                <w:sz w:val="20"/>
                <w:szCs w:val="20"/>
                <w:lang w:val="pt-BR"/>
              </w:rPr>
              <w:t xml:space="preserve"> de forma a esclarecer aos adquirentes </w:t>
            </w:r>
            <w:r w:rsidR="00925472" w:rsidRPr="00157AE3">
              <w:rPr>
                <w:rFonts w:ascii="Verdana" w:hAnsi="Verdana"/>
                <w:b w:val="0"/>
                <w:sz w:val="20"/>
                <w:szCs w:val="20"/>
                <w:lang w:val="pt-BR"/>
              </w:rPr>
              <w:t xml:space="preserve">dois pontos principais: </w:t>
            </w:r>
            <w:r w:rsidRPr="00157AE3">
              <w:rPr>
                <w:rFonts w:ascii="Verdana" w:hAnsi="Verdana"/>
                <w:b w:val="0"/>
                <w:sz w:val="20"/>
                <w:szCs w:val="20"/>
                <w:lang w:val="pt-BR"/>
              </w:rPr>
              <w:t xml:space="preserve">as informações relevantes </w:t>
            </w:r>
            <w:r w:rsidR="00925472" w:rsidRPr="00157AE3">
              <w:rPr>
                <w:rFonts w:ascii="Verdana" w:hAnsi="Verdana"/>
                <w:b w:val="0"/>
                <w:sz w:val="20"/>
                <w:szCs w:val="20"/>
                <w:lang w:val="pt-BR"/>
              </w:rPr>
              <w:t>a respeito da</w:t>
            </w:r>
            <w:r w:rsidRPr="00157AE3">
              <w:rPr>
                <w:rFonts w:ascii="Verdana" w:hAnsi="Verdana"/>
                <w:b w:val="0"/>
                <w:sz w:val="20"/>
                <w:szCs w:val="20"/>
                <w:lang w:val="pt-BR"/>
              </w:rPr>
              <w:t xml:space="preserve"> criação dos planos de análise de risco e </w:t>
            </w:r>
            <w:r w:rsidR="00925472" w:rsidRPr="00157AE3">
              <w:rPr>
                <w:rFonts w:ascii="Verdana" w:hAnsi="Verdana"/>
                <w:b w:val="0"/>
                <w:sz w:val="20"/>
                <w:szCs w:val="20"/>
                <w:lang w:val="pt-BR"/>
              </w:rPr>
              <w:t>os objetivos sociais</w:t>
            </w:r>
            <w:r w:rsidRPr="00157AE3">
              <w:rPr>
                <w:rFonts w:ascii="Verdana" w:hAnsi="Verdana"/>
                <w:b w:val="0"/>
                <w:sz w:val="20"/>
                <w:szCs w:val="20"/>
                <w:lang w:val="pt-BR"/>
              </w:rPr>
              <w:t xml:space="preserve"> ligados à lei q</w:t>
            </w:r>
            <w:r w:rsidR="00925472" w:rsidRPr="00157AE3">
              <w:rPr>
                <w:rFonts w:ascii="Verdana" w:hAnsi="Verdana"/>
                <w:b w:val="0"/>
                <w:sz w:val="20"/>
                <w:szCs w:val="20"/>
                <w:lang w:val="pt-BR"/>
              </w:rPr>
              <w:t>ue norteou a criação da estatal</w:t>
            </w:r>
            <w:r w:rsidRPr="00157AE3">
              <w:rPr>
                <w:rFonts w:ascii="Verdana" w:hAnsi="Verdana"/>
                <w:b w:val="0"/>
                <w:sz w:val="20"/>
                <w:szCs w:val="20"/>
                <w:lang w:val="pt-BR"/>
              </w:rPr>
              <w:t xml:space="preserve"> que deverão ser mantidos após a privatização.</w:t>
            </w:r>
          </w:p>
        </w:tc>
      </w:tr>
      <w:tr w:rsidR="006D354D" w:rsidRPr="006F538F" w14:paraId="40D5DE72" w14:textId="77777777" w:rsidTr="0021548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000000"/>
            </w:tcBorders>
            <w:shd w:val="clear" w:color="auto" w:fill="000000" w:themeFill="text1"/>
            <w:vAlign w:val="center"/>
          </w:tcPr>
          <w:p w14:paraId="524BCBCA" w14:textId="77777777" w:rsidR="006D354D" w:rsidRPr="00157AE3" w:rsidRDefault="006D354D" w:rsidP="001B4EA4">
            <w:pPr>
              <w:spacing w:line="276" w:lineRule="auto"/>
              <w:jc w:val="both"/>
              <w:rPr>
                <w:rFonts w:ascii="Verdana" w:hAnsi="Verdana"/>
                <w:b w:val="0"/>
                <w:sz w:val="20"/>
                <w:szCs w:val="20"/>
                <w:lang w:val="pt-BR"/>
              </w:rPr>
            </w:pPr>
          </w:p>
        </w:tc>
      </w:tr>
      <w:tr w:rsidR="006D354D" w:rsidRPr="006F538F" w14:paraId="572A5A4C" w14:textId="77777777" w:rsidTr="002154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000000"/>
            </w:tcBorders>
            <w:vAlign w:val="center"/>
          </w:tcPr>
          <w:p w14:paraId="67C3A1FD" w14:textId="2DF72D8B" w:rsidR="006D354D" w:rsidRPr="00157AE3" w:rsidRDefault="006D354D" w:rsidP="001B4EA4">
            <w:pPr>
              <w:spacing w:line="276" w:lineRule="auto"/>
              <w:jc w:val="both"/>
              <w:rPr>
                <w:rFonts w:ascii="Verdana" w:hAnsi="Verdana"/>
                <w:b w:val="0"/>
                <w:sz w:val="20"/>
                <w:szCs w:val="20"/>
                <w:lang w:val="pt-BR"/>
              </w:rPr>
            </w:pPr>
            <w:r w:rsidRPr="00157AE3">
              <w:rPr>
                <w:rFonts w:ascii="Verdana" w:hAnsi="Verdana"/>
                <w:b w:val="0"/>
                <w:sz w:val="20"/>
                <w:szCs w:val="20"/>
                <w:lang w:val="pt-BR"/>
              </w:rPr>
              <w:t>Em caso de participação de assessores externos</w:t>
            </w:r>
            <w:r w:rsidR="00155969" w:rsidRPr="00157AE3">
              <w:rPr>
                <w:rFonts w:ascii="Verdana" w:hAnsi="Verdana"/>
                <w:b w:val="0"/>
                <w:sz w:val="20"/>
                <w:szCs w:val="20"/>
                <w:lang w:val="pt-BR"/>
              </w:rPr>
              <w:t xml:space="preserve"> na execução das atividades preparatórias da privatização</w:t>
            </w:r>
            <w:r w:rsidR="00925472" w:rsidRPr="00157AE3">
              <w:rPr>
                <w:rFonts w:ascii="Verdana" w:hAnsi="Verdana"/>
                <w:b w:val="0"/>
                <w:sz w:val="20"/>
                <w:szCs w:val="20"/>
                <w:lang w:val="pt-BR"/>
              </w:rPr>
              <w:t xml:space="preserve">, seu engajamento deve ter </w:t>
            </w:r>
            <w:r w:rsidRPr="00157AE3">
              <w:rPr>
                <w:rFonts w:ascii="Verdana" w:hAnsi="Verdana"/>
                <w:b w:val="0"/>
                <w:sz w:val="20"/>
                <w:szCs w:val="20"/>
                <w:lang w:val="pt-BR"/>
              </w:rPr>
              <w:t xml:space="preserve">escopo claro e delimitado, </w:t>
            </w:r>
            <w:r w:rsidR="00925472" w:rsidRPr="00157AE3">
              <w:rPr>
                <w:rFonts w:ascii="Verdana" w:hAnsi="Verdana"/>
                <w:b w:val="0"/>
                <w:sz w:val="20"/>
                <w:szCs w:val="20"/>
                <w:lang w:val="pt-BR"/>
              </w:rPr>
              <w:t xml:space="preserve">um </w:t>
            </w:r>
            <w:r w:rsidRPr="00157AE3">
              <w:rPr>
                <w:rFonts w:ascii="Verdana" w:hAnsi="Verdana"/>
                <w:b w:val="0"/>
                <w:sz w:val="20"/>
                <w:szCs w:val="20"/>
                <w:lang w:val="pt-BR"/>
              </w:rPr>
              <w:t xml:space="preserve">prazo adequado e </w:t>
            </w:r>
            <w:r w:rsidR="00925472" w:rsidRPr="00157AE3">
              <w:rPr>
                <w:rFonts w:ascii="Verdana" w:hAnsi="Verdana"/>
                <w:b w:val="0"/>
                <w:sz w:val="20"/>
                <w:szCs w:val="20"/>
                <w:lang w:val="pt-BR"/>
              </w:rPr>
              <w:t xml:space="preserve">uma </w:t>
            </w:r>
            <w:r w:rsidRPr="00157AE3">
              <w:rPr>
                <w:rFonts w:ascii="Verdana" w:hAnsi="Verdana"/>
                <w:b w:val="0"/>
                <w:sz w:val="20"/>
                <w:szCs w:val="20"/>
                <w:lang w:val="pt-BR"/>
              </w:rPr>
              <w:t>alocação de riscos apropriada.</w:t>
            </w:r>
          </w:p>
        </w:tc>
      </w:tr>
      <w:tr w:rsidR="006D354D" w:rsidRPr="006F538F" w14:paraId="6ADA3056" w14:textId="77777777" w:rsidTr="0021548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000000"/>
            </w:tcBorders>
            <w:shd w:val="clear" w:color="auto" w:fill="000000" w:themeFill="text1"/>
          </w:tcPr>
          <w:p w14:paraId="0ED70B53" w14:textId="77777777" w:rsidR="006D354D" w:rsidRPr="001B4EA4" w:rsidRDefault="006D354D" w:rsidP="001B4EA4">
            <w:pPr>
              <w:spacing w:line="276" w:lineRule="auto"/>
              <w:jc w:val="both"/>
              <w:rPr>
                <w:rFonts w:ascii="Verdana" w:hAnsi="Verdana"/>
                <w:b w:val="0"/>
                <w:sz w:val="20"/>
                <w:szCs w:val="20"/>
                <w:lang w:val="pt-BR"/>
              </w:rPr>
            </w:pPr>
          </w:p>
        </w:tc>
      </w:tr>
    </w:tbl>
    <w:p w14:paraId="2D5371E0" w14:textId="77777777" w:rsidR="00B77231" w:rsidRPr="001B4EA4" w:rsidRDefault="00B77231" w:rsidP="001B4EA4">
      <w:pPr>
        <w:spacing w:before="160" w:line="276" w:lineRule="auto"/>
        <w:ind w:firstLine="709"/>
        <w:jc w:val="both"/>
        <w:rPr>
          <w:rFonts w:ascii="Verdana" w:hAnsi="Verdana"/>
          <w:i/>
          <w:sz w:val="20"/>
          <w:szCs w:val="20"/>
          <w:lang w:val="pt-BR"/>
        </w:rPr>
      </w:pPr>
    </w:p>
    <w:p w14:paraId="4C81EB79" w14:textId="5C7460A0" w:rsidR="00795C49" w:rsidRPr="001B4EA4" w:rsidRDefault="00795C49" w:rsidP="001B4EA4">
      <w:pPr>
        <w:spacing w:before="160" w:line="276" w:lineRule="auto"/>
        <w:ind w:firstLine="709"/>
        <w:jc w:val="both"/>
        <w:rPr>
          <w:rFonts w:ascii="Verdana" w:hAnsi="Verdana"/>
          <w:i/>
          <w:sz w:val="20"/>
          <w:szCs w:val="20"/>
          <w:lang w:val="pt-BR"/>
        </w:rPr>
      </w:pPr>
      <w:r w:rsidRPr="001B4EA4">
        <w:rPr>
          <w:rFonts w:ascii="Verdana" w:hAnsi="Verdana"/>
          <w:i/>
          <w:sz w:val="20"/>
          <w:szCs w:val="20"/>
          <w:lang w:val="pt-BR"/>
        </w:rPr>
        <w:t>Aplicação</w:t>
      </w:r>
    </w:p>
    <w:p w14:paraId="1E6D49CC" w14:textId="6047456C" w:rsidR="00F563BB" w:rsidRPr="001B4EA4" w:rsidRDefault="00F563BB" w:rsidP="001B4EA4">
      <w:pPr>
        <w:spacing w:line="276" w:lineRule="auto"/>
        <w:ind w:firstLine="708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 xml:space="preserve">As atividades preparatórias da privatização devem ser cuidadosamente conduzidas pelo </w:t>
      </w:r>
      <w:r w:rsidR="00925472" w:rsidRPr="001B4EA4">
        <w:rPr>
          <w:rFonts w:ascii="Verdana" w:hAnsi="Verdana"/>
          <w:sz w:val="20"/>
          <w:szCs w:val="20"/>
          <w:lang w:val="pt-BR"/>
        </w:rPr>
        <w:t>p</w:t>
      </w:r>
      <w:r w:rsidR="00B75150" w:rsidRPr="001B4EA4">
        <w:rPr>
          <w:rFonts w:ascii="Verdana" w:hAnsi="Verdana"/>
          <w:sz w:val="20"/>
          <w:szCs w:val="20"/>
          <w:lang w:val="pt-BR"/>
        </w:rPr>
        <w:t xml:space="preserve">oder </w:t>
      </w:r>
      <w:r w:rsidR="00925472" w:rsidRPr="001B4EA4">
        <w:rPr>
          <w:rFonts w:ascii="Verdana" w:hAnsi="Verdana"/>
          <w:sz w:val="20"/>
          <w:szCs w:val="20"/>
          <w:lang w:val="pt-BR"/>
        </w:rPr>
        <w:t>p</w:t>
      </w:r>
      <w:r w:rsidR="00B75150" w:rsidRPr="001B4EA4">
        <w:rPr>
          <w:rFonts w:ascii="Verdana" w:hAnsi="Verdana"/>
          <w:sz w:val="20"/>
          <w:szCs w:val="20"/>
          <w:lang w:val="pt-BR"/>
        </w:rPr>
        <w:t>úblico</w:t>
      </w:r>
      <w:r w:rsidRPr="001B4EA4">
        <w:rPr>
          <w:rFonts w:ascii="Verdana" w:hAnsi="Verdana"/>
          <w:sz w:val="20"/>
          <w:szCs w:val="20"/>
          <w:lang w:val="pt-BR"/>
        </w:rPr>
        <w:t>,</w:t>
      </w:r>
      <w:r w:rsidR="00106B03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="00F069E4" w:rsidRPr="001B4EA4">
        <w:rPr>
          <w:rFonts w:ascii="Verdana" w:hAnsi="Verdana"/>
          <w:sz w:val="20"/>
          <w:szCs w:val="20"/>
          <w:lang w:val="pt-BR"/>
        </w:rPr>
        <w:t>com a participação ativa d</w:t>
      </w:r>
      <w:r w:rsidR="00106B03" w:rsidRPr="001B4EA4">
        <w:rPr>
          <w:rFonts w:ascii="Verdana" w:hAnsi="Verdana"/>
          <w:sz w:val="20"/>
          <w:szCs w:val="20"/>
          <w:lang w:val="pt-BR"/>
        </w:rPr>
        <w:t xml:space="preserve">o </w:t>
      </w:r>
      <w:r w:rsidR="00925472" w:rsidRPr="001B4EA4">
        <w:rPr>
          <w:rFonts w:ascii="Verdana" w:hAnsi="Verdana"/>
          <w:sz w:val="20"/>
          <w:szCs w:val="20"/>
          <w:lang w:val="pt-BR"/>
        </w:rPr>
        <w:t>m</w:t>
      </w:r>
      <w:r w:rsidR="00106B03" w:rsidRPr="001B4EA4">
        <w:rPr>
          <w:rFonts w:ascii="Verdana" w:hAnsi="Verdana"/>
          <w:sz w:val="20"/>
          <w:szCs w:val="20"/>
          <w:lang w:val="pt-BR"/>
        </w:rPr>
        <w:t>inistério responsável pelo setor da estatal,</w:t>
      </w:r>
      <w:r w:rsidRPr="001B4EA4">
        <w:rPr>
          <w:rFonts w:ascii="Verdana" w:hAnsi="Verdana"/>
          <w:sz w:val="20"/>
          <w:szCs w:val="20"/>
          <w:lang w:val="pt-BR"/>
        </w:rPr>
        <w:t xml:space="preserve"> internamente ou com o apoio de consultores externos. </w:t>
      </w:r>
      <w:r w:rsidR="00925472" w:rsidRPr="001B4EA4">
        <w:rPr>
          <w:rFonts w:ascii="Verdana" w:hAnsi="Verdana"/>
          <w:sz w:val="20"/>
          <w:szCs w:val="20"/>
          <w:lang w:val="pt-BR"/>
        </w:rPr>
        <w:t>Essas</w:t>
      </w:r>
      <w:r w:rsidRPr="001B4EA4">
        <w:rPr>
          <w:rFonts w:ascii="Verdana" w:hAnsi="Verdana"/>
          <w:sz w:val="20"/>
          <w:szCs w:val="20"/>
          <w:lang w:val="pt-BR"/>
        </w:rPr>
        <w:t xml:space="preserve"> atividades não devem apenas cumprir os requisitos legais aplicáveis, como também as boas práticas e as lições aprendidas no histórico </w:t>
      </w:r>
      <w:r w:rsidR="00925472" w:rsidRPr="001B4EA4">
        <w:rPr>
          <w:rFonts w:ascii="Verdana" w:hAnsi="Verdana"/>
          <w:sz w:val="20"/>
          <w:szCs w:val="20"/>
          <w:lang w:val="pt-BR"/>
        </w:rPr>
        <w:t xml:space="preserve">brasileiro </w:t>
      </w:r>
      <w:r w:rsidRPr="001B4EA4">
        <w:rPr>
          <w:rFonts w:ascii="Verdana" w:hAnsi="Verdana"/>
          <w:sz w:val="20"/>
          <w:szCs w:val="20"/>
          <w:lang w:val="pt-BR"/>
        </w:rPr>
        <w:t>de privatizações.</w:t>
      </w:r>
    </w:p>
    <w:p w14:paraId="11EFEF73" w14:textId="464ABD1C" w:rsidR="00C5697A" w:rsidRPr="001B4EA4" w:rsidRDefault="00C019E6" w:rsidP="001B4EA4">
      <w:pPr>
        <w:spacing w:line="276" w:lineRule="auto"/>
        <w:ind w:firstLine="708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 xml:space="preserve">É </w:t>
      </w:r>
      <w:r w:rsidR="00C5697A" w:rsidRPr="001B4EA4">
        <w:rPr>
          <w:rFonts w:ascii="Verdana" w:hAnsi="Verdana"/>
          <w:sz w:val="20"/>
          <w:szCs w:val="20"/>
          <w:lang w:val="pt-BR"/>
        </w:rPr>
        <w:t xml:space="preserve">necessário reconhecer que o objetivo </w:t>
      </w:r>
      <w:r w:rsidRPr="001B4EA4">
        <w:rPr>
          <w:rFonts w:ascii="Verdana" w:hAnsi="Verdana"/>
          <w:sz w:val="20"/>
          <w:szCs w:val="20"/>
          <w:lang w:val="pt-BR"/>
        </w:rPr>
        <w:t>da venda d</w:t>
      </w:r>
      <w:r w:rsidR="007135F8">
        <w:rPr>
          <w:rFonts w:ascii="Verdana" w:hAnsi="Verdana"/>
          <w:sz w:val="20"/>
          <w:szCs w:val="20"/>
          <w:lang w:val="pt-BR"/>
        </w:rPr>
        <w:t>e</w:t>
      </w:r>
      <w:r w:rsidRPr="001B4EA4">
        <w:rPr>
          <w:rFonts w:ascii="Verdana" w:hAnsi="Verdana"/>
          <w:sz w:val="20"/>
          <w:szCs w:val="20"/>
          <w:lang w:val="pt-BR"/>
        </w:rPr>
        <w:t xml:space="preserve"> empresa</w:t>
      </w:r>
      <w:r w:rsidR="007135F8">
        <w:rPr>
          <w:rFonts w:ascii="Verdana" w:hAnsi="Verdana"/>
          <w:sz w:val="20"/>
          <w:szCs w:val="20"/>
          <w:lang w:val="pt-BR"/>
        </w:rPr>
        <w:t>s</w:t>
      </w:r>
      <w:r w:rsidRPr="001B4EA4">
        <w:rPr>
          <w:rFonts w:ascii="Verdana" w:hAnsi="Verdana"/>
          <w:sz w:val="20"/>
          <w:szCs w:val="20"/>
          <w:lang w:val="pt-BR"/>
        </w:rPr>
        <w:t xml:space="preserve"> estata</w:t>
      </w:r>
      <w:r w:rsidR="007135F8">
        <w:rPr>
          <w:rFonts w:ascii="Verdana" w:hAnsi="Verdana"/>
          <w:sz w:val="20"/>
          <w:szCs w:val="20"/>
          <w:lang w:val="pt-BR"/>
        </w:rPr>
        <w:t>is</w:t>
      </w:r>
      <w:r w:rsidR="00C5697A" w:rsidRPr="001B4EA4">
        <w:rPr>
          <w:rFonts w:ascii="Verdana" w:hAnsi="Verdana"/>
          <w:sz w:val="20"/>
          <w:szCs w:val="20"/>
          <w:lang w:val="pt-BR"/>
        </w:rPr>
        <w:t xml:space="preserve"> não pode ser apenas o de geração de caixa para o Estado, mas também a viabilidade</w:t>
      </w:r>
      <w:r w:rsidR="006C4121">
        <w:rPr>
          <w:rFonts w:ascii="Verdana" w:hAnsi="Verdana"/>
          <w:sz w:val="20"/>
          <w:szCs w:val="20"/>
          <w:lang w:val="pt-BR"/>
        </w:rPr>
        <w:t xml:space="preserve"> e o aumento da produtividade das atividades e serviços</w:t>
      </w:r>
      <w:r w:rsidR="00C5697A" w:rsidRPr="001B4EA4">
        <w:rPr>
          <w:rFonts w:ascii="Verdana" w:hAnsi="Verdana"/>
          <w:sz w:val="20"/>
          <w:szCs w:val="20"/>
          <w:lang w:val="pt-BR"/>
        </w:rPr>
        <w:t xml:space="preserve"> das companhias privatizadas, as quais serão responsáveis pela prestação de relevantes serviços à população</w:t>
      </w:r>
      <w:r w:rsidR="006C4121">
        <w:rPr>
          <w:rFonts w:ascii="Verdana" w:hAnsi="Verdana"/>
          <w:sz w:val="20"/>
          <w:szCs w:val="20"/>
          <w:lang w:val="pt-BR"/>
        </w:rPr>
        <w:t>, s</w:t>
      </w:r>
      <w:r w:rsidR="006C4121" w:rsidRPr="006C4121">
        <w:rPr>
          <w:rFonts w:ascii="Verdana" w:hAnsi="Verdana"/>
          <w:sz w:val="20"/>
          <w:szCs w:val="20"/>
          <w:lang w:val="pt-BR"/>
        </w:rPr>
        <w:t>em prejuízo dos objetivos sociais que inicialmente nortearam a criação da estatal</w:t>
      </w:r>
      <w:r w:rsidR="00C5697A" w:rsidRPr="001B4EA4">
        <w:rPr>
          <w:rFonts w:ascii="Verdana" w:hAnsi="Verdana"/>
          <w:sz w:val="20"/>
          <w:szCs w:val="20"/>
          <w:lang w:val="pt-BR"/>
        </w:rPr>
        <w:t xml:space="preserve">. </w:t>
      </w:r>
    </w:p>
    <w:p w14:paraId="45653592" w14:textId="34DF644A" w:rsidR="00F563BB" w:rsidRPr="001B4EA4" w:rsidRDefault="00C5697A" w:rsidP="001B4EA4">
      <w:pPr>
        <w:spacing w:line="276" w:lineRule="auto"/>
        <w:ind w:firstLine="708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>Por es</w:t>
      </w:r>
      <w:r w:rsidR="00987509" w:rsidRPr="001B4EA4">
        <w:rPr>
          <w:rFonts w:ascii="Verdana" w:hAnsi="Verdana"/>
          <w:sz w:val="20"/>
          <w:szCs w:val="20"/>
          <w:lang w:val="pt-BR"/>
        </w:rPr>
        <w:t>s</w:t>
      </w:r>
      <w:r w:rsidRPr="001B4EA4">
        <w:rPr>
          <w:rFonts w:ascii="Verdana" w:hAnsi="Verdana"/>
          <w:sz w:val="20"/>
          <w:szCs w:val="20"/>
          <w:lang w:val="pt-BR"/>
        </w:rPr>
        <w:t>e motivo, r</w:t>
      </w:r>
      <w:r w:rsidR="00F563BB" w:rsidRPr="001B4EA4">
        <w:rPr>
          <w:rFonts w:ascii="Verdana" w:hAnsi="Verdana"/>
          <w:sz w:val="20"/>
          <w:szCs w:val="20"/>
          <w:lang w:val="pt-BR"/>
        </w:rPr>
        <w:t xml:space="preserve">ecomenda-se, com as adaptações exigidas pela legislação aplicável </w:t>
      </w:r>
      <w:r w:rsidR="00987509" w:rsidRPr="001B4EA4">
        <w:rPr>
          <w:rFonts w:ascii="Verdana" w:hAnsi="Verdana"/>
          <w:sz w:val="20"/>
          <w:szCs w:val="20"/>
          <w:lang w:val="pt-BR"/>
        </w:rPr>
        <w:t>e</w:t>
      </w:r>
      <w:r w:rsidR="00F563BB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="00987509" w:rsidRPr="001B4EA4">
        <w:rPr>
          <w:rFonts w:ascii="Verdana" w:hAnsi="Verdana"/>
          <w:sz w:val="20"/>
          <w:szCs w:val="20"/>
          <w:lang w:val="pt-BR"/>
        </w:rPr>
        <w:t xml:space="preserve">considerando-se </w:t>
      </w:r>
      <w:r w:rsidR="00F563BB" w:rsidRPr="001B4EA4">
        <w:rPr>
          <w:rFonts w:ascii="Verdana" w:hAnsi="Verdana"/>
          <w:sz w:val="20"/>
          <w:szCs w:val="20"/>
          <w:lang w:val="pt-BR"/>
        </w:rPr>
        <w:t>as características particulares de cada setor, empresa ou ativo, a realização das seguintes</w:t>
      </w:r>
      <w:r w:rsidR="00987509" w:rsidRPr="001B4EA4">
        <w:rPr>
          <w:rFonts w:ascii="Verdana" w:hAnsi="Verdana"/>
          <w:sz w:val="20"/>
          <w:szCs w:val="20"/>
          <w:lang w:val="pt-BR"/>
        </w:rPr>
        <w:t xml:space="preserve"> ações</w:t>
      </w:r>
      <w:r w:rsidR="00F563BB" w:rsidRPr="001B4EA4">
        <w:rPr>
          <w:rFonts w:ascii="Verdana" w:hAnsi="Verdana"/>
          <w:sz w:val="20"/>
          <w:szCs w:val="20"/>
          <w:lang w:val="pt-BR"/>
        </w:rPr>
        <w:t>:</w:t>
      </w:r>
    </w:p>
    <w:p w14:paraId="6705B68B" w14:textId="613D0280" w:rsidR="006A2B49" w:rsidRPr="001B4EA4" w:rsidRDefault="00F563BB" w:rsidP="001B4EA4">
      <w:pPr>
        <w:pStyle w:val="PargrafodaLista"/>
        <w:numPr>
          <w:ilvl w:val="0"/>
          <w:numId w:val="22"/>
        </w:numPr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>avaliação econômico-financeira da companhia ou da participação acionária ofertada, inclusive para fins de determinação d</w:t>
      </w:r>
      <w:r w:rsidR="00987509" w:rsidRPr="001B4EA4">
        <w:rPr>
          <w:rFonts w:ascii="Verdana" w:hAnsi="Verdana"/>
          <w:sz w:val="20"/>
          <w:szCs w:val="20"/>
          <w:lang w:val="pt-BR"/>
        </w:rPr>
        <w:t>e</w:t>
      </w:r>
      <w:r w:rsidRPr="001B4EA4">
        <w:rPr>
          <w:rFonts w:ascii="Verdana" w:hAnsi="Verdana"/>
          <w:sz w:val="20"/>
          <w:szCs w:val="20"/>
          <w:lang w:val="pt-BR"/>
        </w:rPr>
        <w:t xml:space="preserve"> preço ou lance mínimo;</w:t>
      </w:r>
    </w:p>
    <w:p w14:paraId="5BC0D246" w14:textId="5418F4D8" w:rsidR="00F563BB" w:rsidRPr="001B4EA4" w:rsidRDefault="00F563BB" w:rsidP="001B4EA4">
      <w:pPr>
        <w:pStyle w:val="PargrafodaLista"/>
        <w:numPr>
          <w:ilvl w:val="0"/>
          <w:numId w:val="22"/>
        </w:numPr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>auditoria (</w:t>
      </w:r>
      <w:r w:rsidRPr="001B4EA4">
        <w:rPr>
          <w:rFonts w:ascii="Verdana" w:hAnsi="Verdana"/>
          <w:i/>
          <w:sz w:val="20"/>
          <w:szCs w:val="20"/>
          <w:lang w:val="pt-BR"/>
        </w:rPr>
        <w:t>due diligence</w:t>
      </w:r>
      <w:r w:rsidRPr="001B4EA4">
        <w:rPr>
          <w:rFonts w:ascii="Verdana" w:hAnsi="Verdana"/>
          <w:sz w:val="20"/>
          <w:szCs w:val="20"/>
          <w:lang w:val="pt-BR"/>
        </w:rPr>
        <w:t xml:space="preserve">) </w:t>
      </w:r>
      <w:r w:rsidR="006A2B49" w:rsidRPr="001B4EA4">
        <w:rPr>
          <w:rFonts w:ascii="Verdana" w:hAnsi="Verdana"/>
          <w:sz w:val="20"/>
          <w:szCs w:val="20"/>
          <w:lang w:val="pt-BR"/>
        </w:rPr>
        <w:t xml:space="preserve">externa e independente das áreas </w:t>
      </w:r>
      <w:r w:rsidRPr="001B4EA4">
        <w:rPr>
          <w:rFonts w:ascii="Verdana" w:hAnsi="Verdana"/>
          <w:sz w:val="20"/>
          <w:szCs w:val="20"/>
          <w:lang w:val="pt-BR"/>
        </w:rPr>
        <w:t xml:space="preserve">legal, </w:t>
      </w:r>
      <w:r w:rsidR="00C5697A" w:rsidRPr="001B4EA4">
        <w:rPr>
          <w:rFonts w:ascii="Verdana" w:hAnsi="Verdana"/>
          <w:sz w:val="20"/>
          <w:szCs w:val="20"/>
          <w:lang w:val="pt-BR"/>
        </w:rPr>
        <w:t xml:space="preserve">ambiental, trabalhista, </w:t>
      </w:r>
      <w:r w:rsidRPr="001B4EA4">
        <w:rPr>
          <w:rFonts w:ascii="Verdana" w:hAnsi="Verdana"/>
          <w:sz w:val="20"/>
          <w:szCs w:val="20"/>
          <w:lang w:val="pt-BR"/>
        </w:rPr>
        <w:t>contábil, financeira e, conforme o caso, operacional, para identificação de contingências ativas ou passivas a serem consideradas na avaliação econômico-financeira e de obstáculos, entraves legais, consentimentos de terceiros, aprovações prévias e outras providências que demandem endereçamento ou resolução como condição prévia à consumação da privatização ou à otimização do seu resultado;</w:t>
      </w:r>
    </w:p>
    <w:p w14:paraId="0F4FB368" w14:textId="77777777" w:rsidR="00F563BB" w:rsidRPr="001B4EA4" w:rsidRDefault="00F563BB" w:rsidP="001B4EA4">
      <w:pPr>
        <w:pStyle w:val="PargrafodaLista"/>
        <w:numPr>
          <w:ilvl w:val="0"/>
          <w:numId w:val="22"/>
        </w:numPr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 xml:space="preserve">análise interna de ambiente, </w:t>
      </w:r>
      <w:r w:rsidRPr="001B4EA4">
        <w:rPr>
          <w:rFonts w:ascii="Verdana" w:hAnsi="Verdana"/>
          <w:i/>
          <w:sz w:val="20"/>
          <w:szCs w:val="20"/>
          <w:lang w:val="pt-BR"/>
        </w:rPr>
        <w:t>compliance</w:t>
      </w:r>
      <w:r w:rsidRPr="001B4EA4">
        <w:rPr>
          <w:rFonts w:ascii="Verdana" w:hAnsi="Verdana"/>
          <w:sz w:val="20"/>
          <w:szCs w:val="20"/>
          <w:lang w:val="pt-BR"/>
        </w:rPr>
        <w:t xml:space="preserve"> e verificação do comprometimento com fatores ambientais, sociais e de governança corporativa; </w:t>
      </w:r>
    </w:p>
    <w:p w14:paraId="2F236D59" w14:textId="5F7FF344" w:rsidR="00B75150" w:rsidRPr="001B4EA4" w:rsidRDefault="00A0139D" w:rsidP="001B4EA4">
      <w:pPr>
        <w:pStyle w:val="PargrafodaLista"/>
        <w:numPr>
          <w:ilvl w:val="0"/>
          <w:numId w:val="22"/>
        </w:numPr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>e</w:t>
      </w:r>
      <w:r w:rsidR="00B75150" w:rsidRPr="001B4EA4">
        <w:rPr>
          <w:rFonts w:ascii="Verdana" w:hAnsi="Verdana"/>
          <w:sz w:val="20"/>
          <w:szCs w:val="20"/>
          <w:lang w:val="pt-BR"/>
        </w:rPr>
        <w:t xml:space="preserve">m caso de privatização que envolva </w:t>
      </w:r>
      <w:r w:rsidR="007B4C67" w:rsidRPr="001B4EA4">
        <w:rPr>
          <w:rFonts w:ascii="Verdana" w:hAnsi="Verdana"/>
          <w:sz w:val="20"/>
          <w:szCs w:val="20"/>
          <w:lang w:val="pt-BR"/>
        </w:rPr>
        <w:t>encargo de</w:t>
      </w:r>
      <w:r w:rsidR="00B75150" w:rsidRPr="001B4EA4">
        <w:rPr>
          <w:rFonts w:ascii="Verdana" w:hAnsi="Verdana"/>
          <w:sz w:val="20"/>
          <w:szCs w:val="20"/>
          <w:lang w:val="pt-BR"/>
        </w:rPr>
        <w:t xml:space="preserve"> construção de novas obras de infraestrutura, elaboração de </w:t>
      </w:r>
      <w:r w:rsidR="00987509" w:rsidRPr="001B4EA4">
        <w:rPr>
          <w:rFonts w:ascii="Verdana" w:hAnsi="Verdana"/>
          <w:sz w:val="20"/>
          <w:szCs w:val="20"/>
          <w:lang w:val="pt-BR"/>
        </w:rPr>
        <w:t>e</w:t>
      </w:r>
      <w:r w:rsidR="00B75150" w:rsidRPr="001B4EA4">
        <w:rPr>
          <w:rFonts w:ascii="Verdana" w:hAnsi="Verdana"/>
          <w:sz w:val="20"/>
          <w:szCs w:val="20"/>
          <w:lang w:val="pt-BR"/>
        </w:rPr>
        <w:t xml:space="preserve">studos de </w:t>
      </w:r>
      <w:r w:rsidR="00987509" w:rsidRPr="001B4EA4">
        <w:rPr>
          <w:rFonts w:ascii="Verdana" w:hAnsi="Verdana"/>
          <w:sz w:val="20"/>
          <w:szCs w:val="20"/>
          <w:lang w:val="pt-BR"/>
        </w:rPr>
        <w:t>v</w:t>
      </w:r>
      <w:r w:rsidR="00B75150" w:rsidRPr="001B4EA4">
        <w:rPr>
          <w:rFonts w:ascii="Verdana" w:hAnsi="Verdana"/>
          <w:sz w:val="20"/>
          <w:szCs w:val="20"/>
          <w:lang w:val="pt-BR"/>
        </w:rPr>
        <w:t xml:space="preserve">iabilidade </w:t>
      </w:r>
      <w:r w:rsidR="00987509" w:rsidRPr="001B4EA4">
        <w:rPr>
          <w:rFonts w:ascii="Verdana" w:hAnsi="Verdana"/>
          <w:sz w:val="20"/>
          <w:szCs w:val="20"/>
          <w:lang w:val="pt-BR"/>
        </w:rPr>
        <w:t>t</w:t>
      </w:r>
      <w:r w:rsidR="00B75150" w:rsidRPr="001B4EA4">
        <w:rPr>
          <w:rFonts w:ascii="Verdana" w:hAnsi="Verdana"/>
          <w:sz w:val="20"/>
          <w:szCs w:val="20"/>
          <w:lang w:val="pt-BR"/>
        </w:rPr>
        <w:t xml:space="preserve">écnica, </w:t>
      </w:r>
      <w:r w:rsidR="00987509" w:rsidRPr="001B4EA4">
        <w:rPr>
          <w:rFonts w:ascii="Verdana" w:hAnsi="Verdana"/>
          <w:sz w:val="20"/>
          <w:szCs w:val="20"/>
          <w:lang w:val="pt-BR"/>
        </w:rPr>
        <w:t>e</w:t>
      </w:r>
      <w:r w:rsidR="00B75150" w:rsidRPr="001B4EA4">
        <w:rPr>
          <w:rFonts w:ascii="Verdana" w:hAnsi="Verdana"/>
          <w:sz w:val="20"/>
          <w:szCs w:val="20"/>
          <w:lang w:val="pt-BR"/>
        </w:rPr>
        <w:t xml:space="preserve">conômica e </w:t>
      </w:r>
      <w:r w:rsidR="00987509" w:rsidRPr="001B4EA4">
        <w:rPr>
          <w:rFonts w:ascii="Verdana" w:hAnsi="Verdana"/>
          <w:sz w:val="20"/>
          <w:szCs w:val="20"/>
          <w:lang w:val="pt-BR"/>
        </w:rPr>
        <w:t>a</w:t>
      </w:r>
      <w:r w:rsidR="00B75150" w:rsidRPr="001B4EA4">
        <w:rPr>
          <w:rFonts w:ascii="Verdana" w:hAnsi="Verdana"/>
          <w:sz w:val="20"/>
          <w:szCs w:val="20"/>
          <w:lang w:val="pt-BR"/>
        </w:rPr>
        <w:t>mbiental (EVTEA);</w:t>
      </w:r>
    </w:p>
    <w:p w14:paraId="67D00540" w14:textId="65FC978C" w:rsidR="00F563BB" w:rsidRPr="001B4EA4" w:rsidRDefault="00F563BB" w:rsidP="001B4EA4">
      <w:pPr>
        <w:pStyle w:val="PargrafodaLista"/>
        <w:numPr>
          <w:ilvl w:val="0"/>
          <w:numId w:val="22"/>
        </w:numPr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>sondagem preliminar de mercado, para verificação do interesse de agentes privados e conveniência da privatização dentro de determinada conjuntura econômica e janela de mercado</w:t>
      </w:r>
      <w:r w:rsidR="00E2730E" w:rsidRPr="001B4EA4">
        <w:rPr>
          <w:rFonts w:ascii="Verdana" w:hAnsi="Verdana"/>
          <w:sz w:val="20"/>
          <w:szCs w:val="20"/>
          <w:lang w:val="pt-BR"/>
        </w:rPr>
        <w:t>;</w:t>
      </w:r>
    </w:p>
    <w:p w14:paraId="181D0FEF" w14:textId="1B89CF23" w:rsidR="006A2B49" w:rsidRPr="001B4EA4" w:rsidRDefault="006A2B49" w:rsidP="001B4EA4">
      <w:pPr>
        <w:pStyle w:val="PargrafodaLista"/>
        <w:numPr>
          <w:ilvl w:val="0"/>
          <w:numId w:val="22"/>
        </w:numPr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>disponibilização dos relatórios das auditorias externas e independentes para os interessados em participar do leilão, sujeitos</w:t>
      </w:r>
      <w:r w:rsidR="00F069E4" w:rsidRPr="001B4EA4">
        <w:rPr>
          <w:rFonts w:ascii="Verdana" w:hAnsi="Verdana"/>
          <w:sz w:val="20"/>
          <w:szCs w:val="20"/>
          <w:lang w:val="pt-BR"/>
        </w:rPr>
        <w:t>, conforme o caso,</w:t>
      </w:r>
      <w:r w:rsidRPr="001B4EA4">
        <w:rPr>
          <w:rFonts w:ascii="Verdana" w:hAnsi="Verdana"/>
          <w:sz w:val="20"/>
          <w:szCs w:val="20"/>
          <w:lang w:val="pt-BR"/>
        </w:rPr>
        <w:t xml:space="preserve"> a compromissos de confidencialidade.</w:t>
      </w:r>
    </w:p>
    <w:p w14:paraId="084557F1" w14:textId="79C397F4" w:rsidR="00782E76" w:rsidRDefault="00782E76" w:rsidP="00366EA7">
      <w:pPr>
        <w:spacing w:line="276" w:lineRule="auto"/>
        <w:ind w:firstLine="708"/>
        <w:jc w:val="both"/>
        <w:rPr>
          <w:rFonts w:ascii="Verdana" w:hAnsi="Verdana"/>
          <w:sz w:val="20"/>
          <w:szCs w:val="20"/>
          <w:lang w:val="pt-BR"/>
        </w:rPr>
      </w:pPr>
      <w:r w:rsidRPr="000720D0">
        <w:rPr>
          <w:rFonts w:ascii="Verdana" w:hAnsi="Verdana"/>
          <w:sz w:val="20"/>
          <w:szCs w:val="20"/>
          <w:lang w:val="pt-BR"/>
        </w:rPr>
        <w:t>É possível que, com base nas informações obtidas nes</w:t>
      </w:r>
      <w:r w:rsidR="00CB42BE" w:rsidRPr="000720D0">
        <w:rPr>
          <w:rFonts w:ascii="Verdana" w:hAnsi="Verdana"/>
          <w:sz w:val="20"/>
          <w:szCs w:val="20"/>
          <w:lang w:val="pt-BR"/>
        </w:rPr>
        <w:t>s</w:t>
      </w:r>
      <w:r w:rsidRPr="000720D0">
        <w:rPr>
          <w:rFonts w:ascii="Verdana" w:hAnsi="Verdana"/>
          <w:sz w:val="20"/>
          <w:szCs w:val="20"/>
          <w:lang w:val="pt-BR"/>
        </w:rPr>
        <w:t xml:space="preserve">a fase, seja constatada a </w:t>
      </w:r>
      <w:r w:rsidR="00415F6F" w:rsidRPr="000720D0">
        <w:rPr>
          <w:rFonts w:ascii="Verdana" w:hAnsi="Verdana"/>
          <w:sz w:val="20"/>
          <w:szCs w:val="20"/>
          <w:lang w:val="pt-BR"/>
        </w:rPr>
        <w:t xml:space="preserve">ineficiência </w:t>
      </w:r>
      <w:r w:rsidRPr="000720D0">
        <w:rPr>
          <w:rFonts w:ascii="Verdana" w:hAnsi="Verdana"/>
          <w:sz w:val="20"/>
          <w:szCs w:val="20"/>
          <w:lang w:val="pt-BR"/>
        </w:rPr>
        <w:t xml:space="preserve">ou </w:t>
      </w:r>
      <w:r w:rsidR="00415F6F" w:rsidRPr="000720D0">
        <w:rPr>
          <w:rFonts w:ascii="Verdana" w:hAnsi="Verdana"/>
          <w:sz w:val="20"/>
          <w:szCs w:val="20"/>
          <w:lang w:val="pt-BR"/>
        </w:rPr>
        <w:t xml:space="preserve">inviabilidade </w:t>
      </w:r>
      <w:r w:rsidRPr="000720D0">
        <w:rPr>
          <w:rFonts w:ascii="Verdana" w:hAnsi="Verdana"/>
          <w:sz w:val="20"/>
          <w:szCs w:val="20"/>
          <w:lang w:val="pt-BR"/>
        </w:rPr>
        <w:t>da privatização, como</w:t>
      </w:r>
      <w:r w:rsidR="00CB42BE" w:rsidRPr="000720D0">
        <w:rPr>
          <w:rFonts w:ascii="Verdana" w:hAnsi="Verdana"/>
          <w:sz w:val="20"/>
          <w:szCs w:val="20"/>
          <w:lang w:val="pt-BR"/>
        </w:rPr>
        <w:t xml:space="preserve"> </w:t>
      </w:r>
      <w:r w:rsidRPr="000720D0">
        <w:rPr>
          <w:rFonts w:ascii="Verdana" w:hAnsi="Verdana"/>
          <w:sz w:val="20"/>
          <w:szCs w:val="20"/>
          <w:lang w:val="pt-BR"/>
        </w:rPr>
        <w:t>no caso de apuração de inexistência de compradores interessados</w:t>
      </w:r>
      <w:r w:rsidR="00CB42BE" w:rsidRPr="000720D0">
        <w:rPr>
          <w:rFonts w:ascii="Verdana" w:hAnsi="Verdana"/>
          <w:sz w:val="20"/>
          <w:szCs w:val="20"/>
          <w:lang w:val="pt-BR"/>
        </w:rPr>
        <w:t>, por exemplo</w:t>
      </w:r>
      <w:r w:rsidRPr="000720D0">
        <w:rPr>
          <w:rFonts w:ascii="Verdana" w:hAnsi="Verdana"/>
          <w:sz w:val="20"/>
          <w:szCs w:val="20"/>
          <w:lang w:val="pt-BR"/>
        </w:rPr>
        <w:t xml:space="preserve">. </w:t>
      </w:r>
      <w:r w:rsidR="000720D0" w:rsidRPr="000720D0">
        <w:rPr>
          <w:rFonts w:ascii="Verdana" w:hAnsi="Verdana"/>
          <w:sz w:val="20"/>
          <w:szCs w:val="20"/>
          <w:lang w:val="pt-BR"/>
        </w:rPr>
        <w:t>Nes</w:t>
      </w:r>
      <w:r w:rsidR="00571EFE">
        <w:rPr>
          <w:rFonts w:ascii="Verdana" w:hAnsi="Verdana"/>
          <w:sz w:val="20"/>
          <w:szCs w:val="20"/>
          <w:lang w:val="pt-BR"/>
        </w:rPr>
        <w:t>s</w:t>
      </w:r>
      <w:r w:rsidR="000720D0" w:rsidRPr="000720D0">
        <w:rPr>
          <w:rFonts w:ascii="Verdana" w:hAnsi="Verdana"/>
          <w:sz w:val="20"/>
          <w:szCs w:val="20"/>
          <w:lang w:val="pt-BR"/>
        </w:rPr>
        <w:t>es casos, c</w:t>
      </w:r>
      <w:r w:rsidR="00366EA7" w:rsidRPr="000720D0">
        <w:rPr>
          <w:rFonts w:ascii="Verdana" w:hAnsi="Verdana"/>
          <w:sz w:val="20"/>
          <w:szCs w:val="20"/>
          <w:lang w:val="pt-BR"/>
        </w:rPr>
        <w:t>onforme proposto no item “Tomada de decisão de privatização”</w:t>
      </w:r>
      <w:r w:rsidRPr="000720D0">
        <w:rPr>
          <w:rFonts w:ascii="Verdana" w:hAnsi="Verdana"/>
          <w:sz w:val="20"/>
          <w:szCs w:val="20"/>
          <w:lang w:val="pt-BR"/>
        </w:rPr>
        <w:t xml:space="preserve">, </w:t>
      </w:r>
      <w:r w:rsidR="00CB42BE" w:rsidRPr="000720D0">
        <w:rPr>
          <w:rFonts w:ascii="Verdana" w:hAnsi="Verdana"/>
          <w:sz w:val="20"/>
          <w:szCs w:val="20"/>
          <w:lang w:val="pt-BR"/>
        </w:rPr>
        <w:t>sugere-se</w:t>
      </w:r>
      <w:r w:rsidRPr="000720D0">
        <w:rPr>
          <w:rFonts w:ascii="Verdana" w:hAnsi="Verdana"/>
          <w:sz w:val="20"/>
          <w:szCs w:val="20"/>
          <w:lang w:val="pt-BR"/>
        </w:rPr>
        <w:t xml:space="preserve"> </w:t>
      </w:r>
      <w:r w:rsidR="00CB42BE" w:rsidRPr="000720D0">
        <w:rPr>
          <w:rFonts w:ascii="Verdana" w:hAnsi="Verdana"/>
          <w:sz w:val="20"/>
          <w:szCs w:val="20"/>
          <w:lang w:val="pt-BR"/>
        </w:rPr>
        <w:t xml:space="preserve">que seja </w:t>
      </w:r>
      <w:r w:rsidR="000720D0" w:rsidRPr="000720D0">
        <w:rPr>
          <w:rFonts w:ascii="Verdana" w:hAnsi="Verdana"/>
          <w:sz w:val="20"/>
          <w:szCs w:val="20"/>
          <w:lang w:val="pt-BR"/>
        </w:rPr>
        <w:t>feita reflexão</w:t>
      </w:r>
      <w:r w:rsidRPr="000720D0">
        <w:rPr>
          <w:rFonts w:ascii="Verdana" w:hAnsi="Verdana"/>
          <w:sz w:val="20"/>
          <w:szCs w:val="20"/>
          <w:lang w:val="pt-BR"/>
        </w:rPr>
        <w:t xml:space="preserve"> sobre a relevância da atuação da empresa</w:t>
      </w:r>
      <w:r w:rsidR="00366EA7" w:rsidRPr="000720D0">
        <w:rPr>
          <w:rFonts w:ascii="Verdana" w:hAnsi="Verdana"/>
          <w:sz w:val="20"/>
          <w:szCs w:val="20"/>
          <w:lang w:val="pt-BR"/>
        </w:rPr>
        <w:t xml:space="preserve"> estatal e </w:t>
      </w:r>
      <w:r w:rsidR="000720D0">
        <w:rPr>
          <w:rFonts w:ascii="Verdana" w:hAnsi="Verdana"/>
          <w:sz w:val="20"/>
          <w:szCs w:val="20"/>
          <w:lang w:val="pt-BR"/>
        </w:rPr>
        <w:t>sejam consideradas</w:t>
      </w:r>
      <w:r w:rsidR="00415F6F">
        <w:rPr>
          <w:rFonts w:ascii="Verdana" w:hAnsi="Verdana"/>
          <w:sz w:val="20"/>
          <w:szCs w:val="20"/>
          <w:lang w:val="pt-BR"/>
        </w:rPr>
        <w:t xml:space="preserve"> </w:t>
      </w:r>
      <w:r w:rsidR="00366EA7" w:rsidRPr="000720D0">
        <w:rPr>
          <w:rFonts w:ascii="Verdana" w:hAnsi="Verdana"/>
          <w:sz w:val="20"/>
          <w:szCs w:val="20"/>
          <w:lang w:val="pt-BR"/>
        </w:rPr>
        <w:t>nov</w:t>
      </w:r>
      <w:r w:rsidR="000720D0">
        <w:rPr>
          <w:rFonts w:ascii="Verdana" w:hAnsi="Verdana"/>
          <w:sz w:val="20"/>
          <w:szCs w:val="20"/>
          <w:lang w:val="pt-BR"/>
        </w:rPr>
        <w:t>as</w:t>
      </w:r>
      <w:r w:rsidR="00CB42BE" w:rsidRPr="000720D0">
        <w:rPr>
          <w:rFonts w:ascii="Verdana" w:hAnsi="Verdana"/>
          <w:sz w:val="20"/>
          <w:szCs w:val="20"/>
          <w:lang w:val="pt-BR"/>
        </w:rPr>
        <w:t xml:space="preserve"> </w:t>
      </w:r>
      <w:r w:rsidR="000720D0" w:rsidRPr="000720D0">
        <w:rPr>
          <w:rFonts w:ascii="Verdana" w:hAnsi="Verdana"/>
          <w:sz w:val="20"/>
          <w:szCs w:val="20"/>
          <w:lang w:val="pt-BR"/>
        </w:rPr>
        <w:t xml:space="preserve">operações para redução de custos </w:t>
      </w:r>
      <w:r w:rsidR="000720D0">
        <w:rPr>
          <w:rFonts w:ascii="Verdana" w:hAnsi="Verdana"/>
          <w:sz w:val="20"/>
          <w:szCs w:val="20"/>
          <w:lang w:val="pt-BR"/>
        </w:rPr>
        <w:t>de</w:t>
      </w:r>
      <w:r w:rsidR="000720D0" w:rsidRPr="000720D0">
        <w:rPr>
          <w:rFonts w:ascii="Verdana" w:hAnsi="Verdana"/>
          <w:sz w:val="20"/>
          <w:szCs w:val="20"/>
          <w:lang w:val="pt-BR"/>
        </w:rPr>
        <w:t xml:space="preserve"> execução das atividades </w:t>
      </w:r>
      <w:r w:rsidR="000720D0">
        <w:rPr>
          <w:rFonts w:ascii="Verdana" w:hAnsi="Verdana"/>
          <w:sz w:val="20"/>
          <w:szCs w:val="20"/>
          <w:lang w:val="pt-BR"/>
        </w:rPr>
        <w:t>pretendidas</w:t>
      </w:r>
      <w:r w:rsidR="00366EA7" w:rsidRPr="000720D0">
        <w:rPr>
          <w:rFonts w:ascii="Verdana" w:hAnsi="Verdana"/>
          <w:sz w:val="20"/>
          <w:szCs w:val="20"/>
          <w:lang w:val="pt-BR"/>
        </w:rPr>
        <w:t>.</w:t>
      </w:r>
    </w:p>
    <w:p w14:paraId="117F5700" w14:textId="6A9C457D" w:rsidR="00105147" w:rsidRPr="001B4EA4" w:rsidRDefault="00105147" w:rsidP="001B4EA4">
      <w:pPr>
        <w:spacing w:line="276" w:lineRule="auto"/>
        <w:ind w:firstLine="708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>Em caso de participação de assessores externos</w:t>
      </w:r>
      <w:r w:rsidR="00BF44B0">
        <w:rPr>
          <w:rFonts w:ascii="Verdana" w:hAnsi="Verdana"/>
          <w:sz w:val="20"/>
          <w:szCs w:val="20"/>
          <w:lang w:val="pt-BR"/>
        </w:rPr>
        <w:t xml:space="preserve"> nessa fase preparatória</w:t>
      </w:r>
      <w:r w:rsidRPr="001B4EA4">
        <w:rPr>
          <w:rFonts w:ascii="Verdana" w:hAnsi="Verdana"/>
          <w:sz w:val="20"/>
          <w:szCs w:val="20"/>
          <w:lang w:val="pt-BR"/>
        </w:rPr>
        <w:t>, estes podem ser entes integrantes da administração pública indireta, organismos multilaterais ou internacionais, escolas ou fundações e consultores privados.</w:t>
      </w:r>
      <w:r w:rsidR="00C019E6" w:rsidRPr="001B4EA4">
        <w:rPr>
          <w:rFonts w:ascii="Verdana" w:hAnsi="Verdana"/>
          <w:sz w:val="20"/>
          <w:szCs w:val="20"/>
          <w:lang w:val="pt-BR"/>
        </w:rPr>
        <w:t xml:space="preserve"> Seu </w:t>
      </w:r>
      <w:r w:rsidRPr="001B4EA4">
        <w:rPr>
          <w:rFonts w:ascii="Verdana" w:hAnsi="Verdana"/>
          <w:sz w:val="20"/>
          <w:szCs w:val="20"/>
          <w:lang w:val="pt-BR"/>
        </w:rPr>
        <w:t xml:space="preserve">engajamento pode ocorrer por diversas modalidades, com escopo claro e delimitado, prazo adequado e alocação de riscos apropriada. </w:t>
      </w:r>
    </w:p>
    <w:p w14:paraId="6F9F4323" w14:textId="5D394EB3" w:rsidR="00105147" w:rsidRPr="001B4EA4" w:rsidRDefault="00105147" w:rsidP="001B4EA4">
      <w:pPr>
        <w:spacing w:line="276" w:lineRule="auto"/>
        <w:ind w:firstLine="708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>É recomendável, quanto à modalidade da contratação dos assessores:</w:t>
      </w:r>
    </w:p>
    <w:p w14:paraId="4BDF8C8D" w14:textId="77777777" w:rsidR="00105147" w:rsidRPr="001B4EA4" w:rsidRDefault="00105147" w:rsidP="001B4EA4">
      <w:pPr>
        <w:pStyle w:val="PargrafodaLista"/>
        <w:numPr>
          <w:ilvl w:val="0"/>
          <w:numId w:val="18"/>
        </w:numPr>
        <w:spacing w:after="0" w:line="276" w:lineRule="auto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>evitar o pregão ou modalidades baseadas preponderantemente no preço ofertado, que colocam em segundo plano a qualidade e o resultado concreto da licitação para contratação de assessores para desenvolvimento adequado dos estudos preparatórios e modelagem da privatização;</w:t>
      </w:r>
    </w:p>
    <w:p w14:paraId="5A1FDA5B" w14:textId="77777777" w:rsidR="00105147" w:rsidRPr="001B4EA4" w:rsidRDefault="00105147" w:rsidP="001B4EA4">
      <w:pPr>
        <w:pStyle w:val="PargrafodaLista"/>
        <w:numPr>
          <w:ilvl w:val="0"/>
          <w:numId w:val="18"/>
        </w:numPr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>evitar “procedimentos de manifestação de interesse”</w:t>
      </w:r>
      <w:r w:rsidRPr="001B4EA4">
        <w:rPr>
          <w:rStyle w:val="Refdenotaderodap"/>
          <w:rFonts w:ascii="Verdana" w:hAnsi="Verdana"/>
          <w:sz w:val="20"/>
          <w:szCs w:val="20"/>
          <w:lang w:val="pt-BR"/>
        </w:rPr>
        <w:footnoteReference w:id="6"/>
      </w:r>
      <w:r w:rsidRPr="001B4EA4">
        <w:rPr>
          <w:rFonts w:ascii="Verdana" w:hAnsi="Verdana"/>
          <w:sz w:val="20"/>
          <w:szCs w:val="20"/>
          <w:lang w:val="pt-BR"/>
        </w:rPr>
        <w:t>. Esse mecanismo autoriza diversos agentes a conduzir os mesmos estudos, e isso pode resultar em desperdício de recursos, além de não incentivar investimento em estudos de melhor qualidade. Ademais, impõem ao ente público o dever de selecionar motivadamente as contribuições, que, ao serem retiradas de diferentes estudos, geram inconsistências e dificuldade de alocação parcial dos direitos ao ressarcimento;</w:t>
      </w:r>
    </w:p>
    <w:p w14:paraId="1308CCCC" w14:textId="235FEB22" w:rsidR="00105147" w:rsidRPr="001B4EA4" w:rsidRDefault="00105147" w:rsidP="001B4EA4">
      <w:pPr>
        <w:pStyle w:val="PargrafodaLista"/>
        <w:numPr>
          <w:ilvl w:val="0"/>
          <w:numId w:val="18"/>
        </w:numPr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 xml:space="preserve">caso seja adotado o procedimento de manifestação de interesse, que seja dividido em duas fases. Primeiramente, os interessados são chamados a apresentar proposta para realização dos estudos. A escolha do melhor proponente pelo poder público deve ser feita de forma fundamentada, com apresentação das razões e motivos que justifiquem a decisão. Após essa seleção motivada, o </w:t>
      </w:r>
      <w:r w:rsidR="00ED1CE3">
        <w:rPr>
          <w:rFonts w:ascii="Verdana" w:hAnsi="Verdana"/>
          <w:sz w:val="20"/>
          <w:szCs w:val="20"/>
          <w:lang w:val="pt-BR"/>
        </w:rPr>
        <w:t>agente selecionado</w:t>
      </w:r>
      <w:r w:rsidRPr="001B4EA4">
        <w:rPr>
          <w:rFonts w:ascii="Verdana" w:hAnsi="Verdana"/>
          <w:sz w:val="20"/>
          <w:szCs w:val="20"/>
          <w:lang w:val="pt-BR"/>
        </w:rPr>
        <w:t xml:space="preserve"> estará autorizado a apresentar os estudos contemplados, mantida a regra do ressarcimento apenas em caso de aproveitamento e sucesso licitatório, sem prejuízo de divulgação dos estudos para comentários de outros interessados. Essa alternativa visa reduzir desperdícios, incentivar investimento na qualidade, facilitar o trabalho de revisão do poder público; também abre a possibilidade de tomada de financiamento para sua realização;</w:t>
      </w:r>
    </w:p>
    <w:p w14:paraId="53A56BA0" w14:textId="77777777" w:rsidR="00105147" w:rsidRPr="001B4EA4" w:rsidRDefault="00105147" w:rsidP="001B4EA4">
      <w:pPr>
        <w:pStyle w:val="PargrafodaLista"/>
        <w:numPr>
          <w:ilvl w:val="0"/>
          <w:numId w:val="18"/>
        </w:numPr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>a contratação direta de consultores privados por inexigibilidade de licitação deve ser reservada para casos em que seja justificável de forma manifesta e evidente, evitando-se questionamentos que poderiam impor risco ao próprio processo de privatização.</w:t>
      </w:r>
    </w:p>
    <w:p w14:paraId="3CA951D6" w14:textId="77777777" w:rsidR="00105147" w:rsidRPr="001B4EA4" w:rsidRDefault="00105147" w:rsidP="00E1329E">
      <w:pPr>
        <w:spacing w:line="276" w:lineRule="auto"/>
        <w:ind w:left="708"/>
        <w:jc w:val="both"/>
        <w:rPr>
          <w:rFonts w:ascii="Verdana" w:hAnsi="Verdana"/>
          <w:sz w:val="20"/>
          <w:szCs w:val="20"/>
          <w:lang w:val="pt-BR"/>
        </w:rPr>
      </w:pPr>
    </w:p>
    <w:p w14:paraId="4B6A8BE6" w14:textId="33EC008E" w:rsidR="004E04FE" w:rsidRPr="00215482" w:rsidRDefault="008F2CBB" w:rsidP="00E1329E">
      <w:pPr>
        <w:pStyle w:val="Ttulo3"/>
        <w:spacing w:line="276" w:lineRule="auto"/>
        <w:jc w:val="both"/>
        <w:rPr>
          <w:rFonts w:ascii="Verdana" w:hAnsi="Verdana"/>
          <w:b/>
          <w:sz w:val="20"/>
          <w:szCs w:val="20"/>
          <w:lang w:val="pt-BR"/>
        </w:rPr>
      </w:pPr>
      <w:bookmarkStart w:id="23" w:name="_Ref14686651"/>
      <w:bookmarkStart w:id="24" w:name="_Ref14697395"/>
      <w:bookmarkStart w:id="25" w:name="_Toc20752234"/>
      <w:r w:rsidRPr="00215482">
        <w:rPr>
          <w:rFonts w:ascii="Verdana" w:hAnsi="Verdana"/>
          <w:b/>
          <w:sz w:val="20"/>
          <w:szCs w:val="20"/>
          <w:lang w:val="pt-BR"/>
        </w:rPr>
        <w:t xml:space="preserve">1.3 </w:t>
      </w:r>
      <w:r w:rsidR="00F563BB" w:rsidRPr="00215482">
        <w:rPr>
          <w:rFonts w:ascii="Verdana" w:hAnsi="Verdana"/>
          <w:b/>
          <w:sz w:val="20"/>
          <w:szCs w:val="20"/>
          <w:lang w:val="pt-BR"/>
        </w:rPr>
        <w:t>M</w:t>
      </w:r>
      <w:r w:rsidR="004E04FE" w:rsidRPr="00215482">
        <w:rPr>
          <w:rFonts w:ascii="Verdana" w:hAnsi="Verdana"/>
          <w:b/>
          <w:sz w:val="20"/>
          <w:szCs w:val="20"/>
          <w:lang w:val="pt-BR"/>
        </w:rPr>
        <w:t>odelagem das privatizações</w:t>
      </w:r>
      <w:bookmarkEnd w:id="22"/>
      <w:bookmarkEnd w:id="23"/>
      <w:bookmarkEnd w:id="24"/>
      <w:bookmarkEnd w:id="25"/>
    </w:p>
    <w:p w14:paraId="0501E900" w14:textId="77777777" w:rsidR="00B77231" w:rsidRPr="001B4EA4" w:rsidRDefault="00B77231" w:rsidP="00E1329E">
      <w:pPr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</w:p>
    <w:p w14:paraId="1312E3E4" w14:textId="77777777" w:rsidR="00241FF7" w:rsidRPr="001B4EA4" w:rsidRDefault="00F563BB" w:rsidP="001B4EA4">
      <w:pPr>
        <w:spacing w:line="276" w:lineRule="auto"/>
        <w:ind w:firstLine="708"/>
        <w:jc w:val="both"/>
        <w:rPr>
          <w:rFonts w:ascii="Verdana" w:hAnsi="Verdana"/>
          <w:sz w:val="20"/>
          <w:szCs w:val="20"/>
          <w:lang w:val="pt-BR"/>
        </w:rPr>
      </w:pPr>
      <w:bookmarkStart w:id="26" w:name="_Hlk10817697"/>
      <w:r w:rsidRPr="001B4EA4">
        <w:rPr>
          <w:rFonts w:ascii="Verdana" w:hAnsi="Verdana"/>
          <w:sz w:val="20"/>
          <w:szCs w:val="20"/>
          <w:lang w:val="pt-BR"/>
        </w:rPr>
        <w:t>No Brasil, existem três principais métodos de privatização</w:t>
      </w:r>
      <w:r w:rsidR="00F069E4" w:rsidRPr="001B4EA4">
        <w:rPr>
          <w:rFonts w:ascii="Verdana" w:hAnsi="Verdana"/>
          <w:sz w:val="20"/>
          <w:szCs w:val="20"/>
          <w:lang w:val="pt-BR"/>
        </w:rPr>
        <w:t>, sem prejuízo de variações e compromissos acessórios, a serem definidos caso a caso</w:t>
      </w:r>
      <w:r w:rsidRPr="001B4EA4">
        <w:rPr>
          <w:rFonts w:ascii="Verdana" w:hAnsi="Verdana"/>
          <w:sz w:val="20"/>
          <w:szCs w:val="20"/>
          <w:lang w:val="pt-BR"/>
        </w:rPr>
        <w:t xml:space="preserve">: </w:t>
      </w:r>
    </w:p>
    <w:p w14:paraId="641296A7" w14:textId="028A7243" w:rsidR="00241FF7" w:rsidRPr="00E1329E" w:rsidRDefault="00F563BB" w:rsidP="007135F8">
      <w:pPr>
        <w:pStyle w:val="PargrafodaLista"/>
        <w:numPr>
          <w:ilvl w:val="0"/>
          <w:numId w:val="40"/>
        </w:numPr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 xml:space="preserve">a oferta privada de ações, por meio da alienação do controle da empresa pública ou sociedade de economia mista; </w:t>
      </w:r>
    </w:p>
    <w:p w14:paraId="69878604" w14:textId="144E19CF" w:rsidR="00241FF7" w:rsidRPr="001B4EA4" w:rsidRDefault="00F563BB" w:rsidP="007135F8">
      <w:pPr>
        <w:pStyle w:val="PargrafodaLista"/>
        <w:numPr>
          <w:ilvl w:val="0"/>
          <w:numId w:val="40"/>
        </w:numPr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>a oferta pública de ações, com o objetivo de dispersar o controle da empresa pública o</w:t>
      </w:r>
      <w:r w:rsidR="00987509" w:rsidRPr="001B4EA4">
        <w:rPr>
          <w:rFonts w:ascii="Verdana" w:hAnsi="Verdana"/>
          <w:sz w:val="20"/>
          <w:szCs w:val="20"/>
          <w:lang w:val="pt-BR"/>
        </w:rPr>
        <w:t>u companhia de economia mista;</w:t>
      </w:r>
      <w:r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="00241FF7" w:rsidRPr="001B4EA4">
        <w:rPr>
          <w:rFonts w:ascii="Verdana" w:hAnsi="Verdana"/>
          <w:sz w:val="20"/>
          <w:szCs w:val="20"/>
          <w:lang w:val="pt-BR"/>
        </w:rPr>
        <w:t>e</w:t>
      </w:r>
    </w:p>
    <w:p w14:paraId="7BF7173F" w14:textId="1340C6C9" w:rsidR="00F563BB" w:rsidRPr="001B4EA4" w:rsidRDefault="00F563BB" w:rsidP="007135F8">
      <w:pPr>
        <w:pStyle w:val="PargrafodaLista"/>
        <w:numPr>
          <w:ilvl w:val="0"/>
          <w:numId w:val="40"/>
        </w:numPr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>a venda de ativos, no qual a empresa pública ou a companhia de economia mista são preservadas, mas a participação societária em outras companhias ou outro</w:t>
      </w:r>
      <w:r w:rsidR="001138E9" w:rsidRPr="001B4EA4">
        <w:rPr>
          <w:rFonts w:ascii="Verdana" w:hAnsi="Verdana"/>
          <w:sz w:val="20"/>
          <w:szCs w:val="20"/>
          <w:lang w:val="pt-BR"/>
        </w:rPr>
        <w:t>s</w:t>
      </w:r>
      <w:r w:rsidRPr="001B4EA4">
        <w:rPr>
          <w:rFonts w:ascii="Verdana" w:hAnsi="Verdana"/>
          <w:sz w:val="20"/>
          <w:szCs w:val="20"/>
          <w:lang w:val="pt-BR"/>
        </w:rPr>
        <w:t xml:space="preserve"> bens são alienados.</w:t>
      </w:r>
    </w:p>
    <w:p w14:paraId="5143B815" w14:textId="0BA03AF2" w:rsidR="00F563BB" w:rsidRPr="001B4EA4" w:rsidRDefault="00987509" w:rsidP="001B4EA4">
      <w:pPr>
        <w:spacing w:line="276" w:lineRule="auto"/>
        <w:ind w:firstLine="708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>O primeiro</w:t>
      </w:r>
      <w:r w:rsidR="00F563BB" w:rsidRPr="001B4EA4">
        <w:rPr>
          <w:rFonts w:ascii="Verdana" w:hAnsi="Verdana"/>
          <w:sz w:val="20"/>
          <w:szCs w:val="20"/>
          <w:lang w:val="pt-BR"/>
        </w:rPr>
        <w:t xml:space="preserve"> consiste na venda, por parte do Estado, da totalidade ou </w:t>
      </w:r>
      <w:r w:rsidRPr="001B4EA4">
        <w:rPr>
          <w:rFonts w:ascii="Verdana" w:hAnsi="Verdana"/>
          <w:sz w:val="20"/>
          <w:szCs w:val="20"/>
          <w:lang w:val="pt-BR"/>
        </w:rPr>
        <w:t xml:space="preserve">de </w:t>
      </w:r>
      <w:r w:rsidR="00F563BB" w:rsidRPr="001B4EA4">
        <w:rPr>
          <w:rFonts w:ascii="Verdana" w:hAnsi="Verdana"/>
          <w:sz w:val="20"/>
          <w:szCs w:val="20"/>
          <w:lang w:val="pt-BR"/>
        </w:rPr>
        <w:t xml:space="preserve">parte de suas ações em uma empresa pública ou companhia de economia mista a um comprador único pré-identificado ou a um </w:t>
      </w:r>
      <w:r w:rsidR="00F069E4" w:rsidRPr="001B4EA4">
        <w:rPr>
          <w:rFonts w:ascii="Verdana" w:hAnsi="Verdana"/>
          <w:sz w:val="20"/>
          <w:szCs w:val="20"/>
          <w:lang w:val="pt-BR"/>
        </w:rPr>
        <w:t>consórcio</w:t>
      </w:r>
      <w:r w:rsidR="00F563BB" w:rsidRPr="001B4EA4">
        <w:rPr>
          <w:rFonts w:ascii="Verdana" w:hAnsi="Verdana"/>
          <w:sz w:val="20"/>
          <w:szCs w:val="20"/>
          <w:lang w:val="pt-BR"/>
        </w:rPr>
        <w:t>.</w:t>
      </w:r>
    </w:p>
    <w:p w14:paraId="2DF9E28F" w14:textId="373E5C18" w:rsidR="00F563BB" w:rsidRPr="001B4EA4" w:rsidRDefault="00F563BB" w:rsidP="001B4EA4">
      <w:pPr>
        <w:spacing w:line="276" w:lineRule="auto"/>
        <w:ind w:firstLine="708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 xml:space="preserve">De forma diversa, na oferta pública de ações o Estado vende </w:t>
      </w:r>
      <w:r w:rsidR="00F069E4" w:rsidRPr="001B4EA4">
        <w:rPr>
          <w:rFonts w:ascii="Verdana" w:hAnsi="Verdana"/>
          <w:sz w:val="20"/>
          <w:szCs w:val="20"/>
          <w:lang w:val="pt-BR"/>
        </w:rPr>
        <w:t xml:space="preserve">a investidores institucionais ou </w:t>
      </w:r>
      <w:r w:rsidRPr="001B4EA4">
        <w:rPr>
          <w:rFonts w:ascii="Verdana" w:hAnsi="Verdana"/>
          <w:sz w:val="20"/>
          <w:szCs w:val="20"/>
          <w:lang w:val="pt-BR"/>
        </w:rPr>
        <w:t>ao público em geral a totalidade ou parte das ações que detém em uma empresa pública ou sociedade de economia mista.</w:t>
      </w:r>
      <w:r w:rsidR="00275ED3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Pr="001B4EA4">
        <w:rPr>
          <w:rFonts w:ascii="Verdana" w:hAnsi="Verdana"/>
          <w:sz w:val="20"/>
          <w:szCs w:val="20"/>
          <w:lang w:val="pt-BR"/>
        </w:rPr>
        <w:t xml:space="preserve">A venda parcial pode decorrer do interesse do Estado em manter sua presença </w:t>
      </w:r>
      <w:r w:rsidR="00F069E4" w:rsidRPr="001B4EA4">
        <w:rPr>
          <w:rFonts w:ascii="Verdana" w:hAnsi="Verdana"/>
          <w:sz w:val="20"/>
          <w:szCs w:val="20"/>
          <w:lang w:val="pt-BR"/>
        </w:rPr>
        <w:t xml:space="preserve">estratégica </w:t>
      </w:r>
      <w:r w:rsidRPr="001B4EA4">
        <w:rPr>
          <w:rFonts w:ascii="Verdana" w:hAnsi="Verdana"/>
          <w:sz w:val="20"/>
          <w:szCs w:val="20"/>
          <w:lang w:val="pt-BR"/>
        </w:rPr>
        <w:t>na companhia ou apenas representar o primeiro passo em direção à privatização total.</w:t>
      </w:r>
    </w:p>
    <w:p w14:paraId="66755520" w14:textId="08A8FC58" w:rsidR="00F563BB" w:rsidRPr="001B4EA4" w:rsidRDefault="00E039DA" w:rsidP="001B4EA4">
      <w:pPr>
        <w:spacing w:line="276" w:lineRule="auto"/>
        <w:ind w:firstLine="708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>Já</w:t>
      </w:r>
      <w:r w:rsidR="00F563BB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="00987509" w:rsidRPr="001B4EA4">
        <w:rPr>
          <w:rFonts w:ascii="Verdana" w:hAnsi="Verdana"/>
          <w:sz w:val="20"/>
          <w:szCs w:val="20"/>
          <w:lang w:val="pt-BR"/>
        </w:rPr>
        <w:t>no terceiro método</w:t>
      </w:r>
      <w:r w:rsidR="00F563BB" w:rsidRPr="001B4EA4">
        <w:rPr>
          <w:rFonts w:ascii="Verdana" w:hAnsi="Verdana"/>
          <w:sz w:val="20"/>
          <w:szCs w:val="20"/>
          <w:lang w:val="pt-BR"/>
        </w:rPr>
        <w:t>, a transação consiste em uma venda de ativos diretamente pelo governo ou pelas empresas estatais ou companhias de economia mista.</w:t>
      </w:r>
      <w:r w:rsidR="00275ED3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="00F563BB" w:rsidRPr="001B4EA4">
        <w:rPr>
          <w:rFonts w:ascii="Verdana" w:hAnsi="Verdana"/>
          <w:sz w:val="20"/>
          <w:szCs w:val="20"/>
          <w:lang w:val="pt-BR"/>
        </w:rPr>
        <w:t>Os ativos podem ser vendidos individualmente ou em conjunto</w:t>
      </w:r>
      <w:r w:rsidR="00987509" w:rsidRPr="001B4EA4">
        <w:rPr>
          <w:rFonts w:ascii="Verdana" w:hAnsi="Verdana"/>
          <w:sz w:val="20"/>
          <w:szCs w:val="20"/>
          <w:lang w:val="pt-BR"/>
        </w:rPr>
        <w:t>,</w:t>
      </w:r>
      <w:r w:rsidR="00F563BB" w:rsidRPr="001B4EA4">
        <w:rPr>
          <w:rFonts w:ascii="Verdana" w:hAnsi="Verdana"/>
          <w:sz w:val="20"/>
          <w:szCs w:val="20"/>
          <w:lang w:val="pt-BR"/>
        </w:rPr>
        <w:t xml:space="preserve"> como uma nova entidade.</w:t>
      </w:r>
      <w:r w:rsidR="00275ED3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="00F563BB" w:rsidRPr="001B4EA4">
        <w:rPr>
          <w:rFonts w:ascii="Verdana" w:hAnsi="Verdana"/>
          <w:sz w:val="20"/>
          <w:szCs w:val="20"/>
          <w:lang w:val="pt-BR"/>
        </w:rPr>
        <w:t xml:space="preserve">Na prática, a venda de ativos separados pode ser um mecanismo indireto para a venda da companhia como um todo. </w:t>
      </w:r>
    </w:p>
    <w:p w14:paraId="100AAFAB" w14:textId="77777777" w:rsidR="00B77231" w:rsidRPr="001B4EA4" w:rsidRDefault="00B77231" w:rsidP="001B4EA4">
      <w:pPr>
        <w:spacing w:line="276" w:lineRule="auto"/>
        <w:ind w:firstLine="708"/>
        <w:jc w:val="both"/>
        <w:rPr>
          <w:rFonts w:ascii="Verdana" w:hAnsi="Verdana"/>
          <w:sz w:val="20"/>
          <w:szCs w:val="20"/>
          <w:lang w:val="pt-BR"/>
        </w:rPr>
      </w:pPr>
    </w:p>
    <w:tbl>
      <w:tblPr>
        <w:tblStyle w:val="TabeladeLista3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5C4333" w:rsidRPr="001B4EA4" w14:paraId="04DEADCB" w14:textId="77777777" w:rsidTr="00B772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vAlign w:val="center"/>
          </w:tcPr>
          <w:p w14:paraId="7B72F99B" w14:textId="4B3E5E5D" w:rsidR="005C4333" w:rsidRPr="001B4EA4" w:rsidRDefault="005C4333" w:rsidP="001B4EA4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pt-BR"/>
              </w:rPr>
            </w:pPr>
            <w:r w:rsidRPr="001B4EA4">
              <w:rPr>
                <w:rFonts w:ascii="Verdana" w:hAnsi="Verdana"/>
                <w:sz w:val="20"/>
                <w:szCs w:val="20"/>
                <w:lang w:val="pt-BR"/>
              </w:rPr>
              <w:t>Recomendaç</w:t>
            </w:r>
            <w:r w:rsidR="00B4318E" w:rsidRPr="001B4EA4">
              <w:rPr>
                <w:rFonts w:ascii="Verdana" w:hAnsi="Verdana"/>
                <w:sz w:val="20"/>
                <w:szCs w:val="20"/>
                <w:lang w:val="pt-BR"/>
              </w:rPr>
              <w:t>ão</w:t>
            </w:r>
          </w:p>
        </w:tc>
      </w:tr>
      <w:tr w:rsidR="005C4333" w:rsidRPr="006F538F" w14:paraId="29A98E3F" w14:textId="77777777" w:rsidTr="002154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000000"/>
            </w:tcBorders>
            <w:vAlign w:val="center"/>
          </w:tcPr>
          <w:p w14:paraId="6DBDE93C" w14:textId="33F49988" w:rsidR="005C4333" w:rsidRPr="00157AE3" w:rsidRDefault="005C4333" w:rsidP="001B4EA4">
            <w:pPr>
              <w:spacing w:line="276" w:lineRule="auto"/>
              <w:jc w:val="both"/>
              <w:rPr>
                <w:rFonts w:ascii="Verdana" w:hAnsi="Verdana"/>
                <w:b w:val="0"/>
                <w:sz w:val="20"/>
                <w:szCs w:val="20"/>
                <w:lang w:val="pt-BR"/>
              </w:rPr>
            </w:pPr>
            <w:r w:rsidRPr="00157AE3">
              <w:rPr>
                <w:rFonts w:ascii="Verdana" w:hAnsi="Verdana"/>
                <w:b w:val="0"/>
                <w:sz w:val="20"/>
                <w:szCs w:val="20"/>
                <w:lang w:val="pt-BR"/>
              </w:rPr>
              <w:t xml:space="preserve">A escolha do método de privatização deve ser determinada, em cada caso, </w:t>
            </w:r>
            <w:r w:rsidR="00987509" w:rsidRPr="00157AE3">
              <w:rPr>
                <w:rFonts w:ascii="Verdana" w:hAnsi="Verdana"/>
                <w:b w:val="0"/>
                <w:sz w:val="20"/>
                <w:szCs w:val="20"/>
                <w:lang w:val="pt-BR"/>
              </w:rPr>
              <w:t>com base n</w:t>
            </w:r>
            <w:r w:rsidRPr="00157AE3">
              <w:rPr>
                <w:rFonts w:ascii="Verdana" w:hAnsi="Verdana"/>
                <w:b w:val="0"/>
                <w:sz w:val="20"/>
                <w:szCs w:val="20"/>
                <w:lang w:val="pt-BR"/>
              </w:rPr>
              <w:t xml:space="preserve">os objetivos buscados pelo governo, </w:t>
            </w:r>
            <w:r w:rsidR="00987509" w:rsidRPr="00157AE3">
              <w:rPr>
                <w:rFonts w:ascii="Verdana" w:hAnsi="Verdana"/>
                <w:b w:val="0"/>
                <w:sz w:val="20"/>
                <w:szCs w:val="20"/>
                <w:lang w:val="pt-BR"/>
              </w:rPr>
              <w:t>n</w:t>
            </w:r>
            <w:r w:rsidRPr="00157AE3">
              <w:rPr>
                <w:rFonts w:ascii="Verdana" w:hAnsi="Verdana"/>
                <w:b w:val="0"/>
                <w:sz w:val="20"/>
                <w:szCs w:val="20"/>
                <w:lang w:val="pt-BR"/>
              </w:rPr>
              <w:t>o registro de desempenho da empresa</w:t>
            </w:r>
            <w:r w:rsidR="00987509" w:rsidRPr="00157AE3">
              <w:rPr>
                <w:rFonts w:ascii="Verdana" w:hAnsi="Verdana"/>
                <w:b w:val="0"/>
                <w:sz w:val="20"/>
                <w:szCs w:val="20"/>
                <w:lang w:val="pt-BR"/>
              </w:rPr>
              <w:t xml:space="preserve">, nas </w:t>
            </w:r>
            <w:r w:rsidRPr="00157AE3">
              <w:rPr>
                <w:rFonts w:ascii="Verdana" w:hAnsi="Verdana"/>
                <w:b w:val="0"/>
                <w:sz w:val="20"/>
                <w:szCs w:val="20"/>
                <w:lang w:val="pt-BR"/>
              </w:rPr>
              <w:t xml:space="preserve">perspectivas econômicas, </w:t>
            </w:r>
            <w:r w:rsidR="00987509" w:rsidRPr="00157AE3">
              <w:rPr>
                <w:rFonts w:ascii="Verdana" w:hAnsi="Verdana"/>
                <w:b w:val="0"/>
                <w:sz w:val="20"/>
                <w:szCs w:val="20"/>
                <w:lang w:val="pt-BR"/>
              </w:rPr>
              <w:t>n</w:t>
            </w:r>
            <w:r w:rsidRPr="00157AE3">
              <w:rPr>
                <w:rFonts w:ascii="Verdana" w:hAnsi="Verdana"/>
                <w:b w:val="0"/>
                <w:sz w:val="20"/>
                <w:szCs w:val="20"/>
                <w:lang w:val="pt-BR"/>
              </w:rPr>
              <w:t xml:space="preserve">o tamanho da companhia a ser vendida e </w:t>
            </w:r>
            <w:r w:rsidR="00987509" w:rsidRPr="00157AE3">
              <w:rPr>
                <w:rFonts w:ascii="Verdana" w:hAnsi="Verdana"/>
                <w:b w:val="0"/>
                <w:sz w:val="20"/>
                <w:szCs w:val="20"/>
                <w:lang w:val="pt-BR"/>
              </w:rPr>
              <w:t>n</w:t>
            </w:r>
            <w:r w:rsidRPr="00157AE3">
              <w:rPr>
                <w:rFonts w:ascii="Verdana" w:hAnsi="Verdana"/>
                <w:b w:val="0"/>
                <w:sz w:val="20"/>
                <w:szCs w:val="20"/>
                <w:lang w:val="pt-BR"/>
              </w:rPr>
              <w:t>a habilidade de mobilizar fundos privados</w:t>
            </w:r>
            <w:r w:rsidR="00987509" w:rsidRPr="00157AE3">
              <w:rPr>
                <w:rFonts w:ascii="Verdana" w:hAnsi="Verdana"/>
                <w:b w:val="0"/>
                <w:sz w:val="20"/>
                <w:szCs w:val="20"/>
                <w:lang w:val="pt-BR"/>
              </w:rPr>
              <w:t xml:space="preserve"> — </w:t>
            </w:r>
            <w:r w:rsidRPr="00157AE3">
              <w:rPr>
                <w:rFonts w:ascii="Verdana" w:hAnsi="Verdana"/>
                <w:b w:val="0"/>
                <w:sz w:val="20"/>
                <w:szCs w:val="20"/>
                <w:lang w:val="pt-BR"/>
              </w:rPr>
              <w:t>seja de investidores nacionais ou estrangeiros de grande porte, seja do público em geral.</w:t>
            </w:r>
          </w:p>
        </w:tc>
      </w:tr>
      <w:tr w:rsidR="005C4333" w:rsidRPr="006F538F" w14:paraId="1431B3E8" w14:textId="77777777" w:rsidTr="00051DB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000000" w:themeFill="text1"/>
          </w:tcPr>
          <w:p w14:paraId="68C2CCA5" w14:textId="77777777" w:rsidR="005C4333" w:rsidRPr="001B4EA4" w:rsidRDefault="005C4333" w:rsidP="001B4EA4">
            <w:pPr>
              <w:spacing w:line="276" w:lineRule="auto"/>
              <w:jc w:val="both"/>
              <w:rPr>
                <w:rFonts w:ascii="Verdana" w:hAnsi="Verdana"/>
                <w:b w:val="0"/>
                <w:sz w:val="20"/>
                <w:szCs w:val="20"/>
                <w:lang w:val="pt-BR"/>
              </w:rPr>
            </w:pPr>
          </w:p>
        </w:tc>
      </w:tr>
      <w:bookmarkEnd w:id="26"/>
    </w:tbl>
    <w:p w14:paraId="4E117D8F" w14:textId="77777777" w:rsidR="00B77231" w:rsidRPr="001B4EA4" w:rsidRDefault="00B77231" w:rsidP="001B4EA4">
      <w:pPr>
        <w:spacing w:before="160" w:line="276" w:lineRule="auto"/>
        <w:ind w:firstLine="709"/>
        <w:jc w:val="both"/>
        <w:rPr>
          <w:rFonts w:ascii="Verdana" w:hAnsi="Verdana"/>
          <w:i/>
          <w:sz w:val="20"/>
          <w:szCs w:val="20"/>
          <w:lang w:val="pt-BR"/>
        </w:rPr>
      </w:pPr>
    </w:p>
    <w:p w14:paraId="50119F06" w14:textId="0BA26C91" w:rsidR="00795C49" w:rsidRPr="001B4EA4" w:rsidRDefault="00FE59EB" w:rsidP="001B4EA4">
      <w:pPr>
        <w:spacing w:before="160" w:line="276" w:lineRule="auto"/>
        <w:ind w:firstLine="709"/>
        <w:jc w:val="both"/>
        <w:rPr>
          <w:rFonts w:ascii="Verdana" w:hAnsi="Verdana"/>
          <w:i/>
          <w:sz w:val="20"/>
          <w:szCs w:val="20"/>
          <w:lang w:val="pt-BR"/>
        </w:rPr>
      </w:pPr>
      <w:r w:rsidRPr="001B4EA4">
        <w:rPr>
          <w:rFonts w:ascii="Verdana" w:hAnsi="Verdana"/>
          <w:i/>
          <w:sz w:val="20"/>
          <w:szCs w:val="20"/>
          <w:lang w:val="pt-BR"/>
        </w:rPr>
        <w:t>Aplicação</w:t>
      </w:r>
    </w:p>
    <w:p w14:paraId="0FCC2906" w14:textId="09858623" w:rsidR="0069690C" w:rsidRPr="001B4EA4" w:rsidRDefault="00987509" w:rsidP="001B4EA4">
      <w:pPr>
        <w:spacing w:line="276" w:lineRule="auto"/>
        <w:ind w:firstLine="708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 xml:space="preserve">Quando as circunstâncias </w:t>
      </w:r>
      <w:r w:rsidR="00F069E4" w:rsidRPr="001B4EA4">
        <w:rPr>
          <w:rFonts w:ascii="Verdana" w:hAnsi="Verdana"/>
          <w:sz w:val="20"/>
          <w:szCs w:val="20"/>
          <w:lang w:val="pt-BR"/>
        </w:rPr>
        <w:t xml:space="preserve">permitirem, especialmente </w:t>
      </w:r>
      <w:r w:rsidRPr="001B4EA4">
        <w:rPr>
          <w:rFonts w:ascii="Verdana" w:hAnsi="Verdana"/>
          <w:sz w:val="20"/>
          <w:szCs w:val="20"/>
          <w:lang w:val="pt-BR"/>
        </w:rPr>
        <w:t>no caso de</w:t>
      </w:r>
      <w:r w:rsidR="00F069E4" w:rsidRPr="001B4EA4">
        <w:rPr>
          <w:rFonts w:ascii="Verdana" w:hAnsi="Verdana"/>
          <w:sz w:val="20"/>
          <w:szCs w:val="20"/>
          <w:lang w:val="pt-BR"/>
        </w:rPr>
        <w:t xml:space="preserve"> empresas mais maduras que não requeiram um controlador privado estratégico após a privatização, especial atenção deve ser dada ao modelo de privatização mediante </w:t>
      </w:r>
      <w:r w:rsidR="00F563BB" w:rsidRPr="001B4EA4">
        <w:rPr>
          <w:rFonts w:ascii="Verdana" w:hAnsi="Verdana"/>
          <w:sz w:val="20"/>
          <w:szCs w:val="20"/>
          <w:lang w:val="pt-BR"/>
        </w:rPr>
        <w:t xml:space="preserve">pulverização de ações, </w:t>
      </w:r>
      <w:r w:rsidRPr="001B4EA4">
        <w:rPr>
          <w:rFonts w:ascii="Verdana" w:hAnsi="Verdana"/>
          <w:sz w:val="20"/>
          <w:szCs w:val="20"/>
          <w:lang w:val="pt-BR"/>
        </w:rPr>
        <w:t>que resulta</w:t>
      </w:r>
      <w:r w:rsidR="00F563BB" w:rsidRPr="001B4EA4">
        <w:rPr>
          <w:rFonts w:ascii="Verdana" w:hAnsi="Verdana"/>
          <w:sz w:val="20"/>
          <w:szCs w:val="20"/>
          <w:lang w:val="pt-BR"/>
        </w:rPr>
        <w:t xml:space="preserve"> em companhias de capital disperso</w:t>
      </w:r>
      <w:r w:rsidR="003C2B1D" w:rsidRPr="001B4EA4">
        <w:rPr>
          <w:rFonts w:ascii="Verdana" w:hAnsi="Verdana"/>
          <w:sz w:val="20"/>
          <w:szCs w:val="20"/>
          <w:lang w:val="pt-BR"/>
        </w:rPr>
        <w:t>, evitando</w:t>
      </w:r>
      <w:r w:rsidRPr="001B4EA4">
        <w:rPr>
          <w:rFonts w:ascii="Verdana" w:hAnsi="Verdana"/>
          <w:sz w:val="20"/>
          <w:szCs w:val="20"/>
          <w:lang w:val="pt-BR"/>
        </w:rPr>
        <w:t>-se</w:t>
      </w:r>
      <w:r w:rsidR="003C2B1D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="003C2B1D" w:rsidRPr="001B4EA4">
        <w:rPr>
          <w:rFonts w:ascii="Verdana" w:hAnsi="Verdana"/>
          <w:i/>
          <w:sz w:val="20"/>
          <w:szCs w:val="20"/>
          <w:lang w:val="pt-BR"/>
        </w:rPr>
        <w:t>golden shares</w:t>
      </w:r>
      <w:r w:rsidR="00AF23DD" w:rsidRPr="001B4EA4">
        <w:rPr>
          <w:rStyle w:val="Refdenotaderodap"/>
          <w:rFonts w:ascii="Verdana" w:hAnsi="Verdana"/>
          <w:sz w:val="20"/>
          <w:szCs w:val="20"/>
          <w:lang w:val="pt-BR"/>
        </w:rPr>
        <w:footnoteReference w:id="7"/>
      </w:r>
      <w:r w:rsidR="003C2B1D" w:rsidRPr="001B4EA4">
        <w:rPr>
          <w:rFonts w:ascii="Verdana" w:hAnsi="Verdana"/>
          <w:sz w:val="20"/>
          <w:szCs w:val="20"/>
          <w:lang w:val="pt-BR"/>
        </w:rPr>
        <w:t xml:space="preserve"> e outros instrumentos de manutenção ou aumento da participação estatal</w:t>
      </w:r>
      <w:r w:rsidR="00F563BB" w:rsidRPr="001B4EA4">
        <w:rPr>
          <w:rFonts w:ascii="Verdana" w:hAnsi="Verdana"/>
          <w:sz w:val="20"/>
          <w:szCs w:val="20"/>
          <w:lang w:val="pt-BR"/>
        </w:rPr>
        <w:t>.</w:t>
      </w:r>
      <w:r w:rsidR="0030511C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="004C2781" w:rsidRPr="001B4EA4">
        <w:rPr>
          <w:rFonts w:ascii="Verdana" w:hAnsi="Verdana"/>
          <w:sz w:val="20"/>
          <w:szCs w:val="20"/>
          <w:lang w:val="pt-BR"/>
        </w:rPr>
        <w:t>Es</w:t>
      </w:r>
      <w:r w:rsidR="00510BA6" w:rsidRPr="001B4EA4">
        <w:rPr>
          <w:rFonts w:ascii="Verdana" w:hAnsi="Verdana"/>
          <w:sz w:val="20"/>
          <w:szCs w:val="20"/>
          <w:lang w:val="pt-BR"/>
        </w:rPr>
        <w:t>s</w:t>
      </w:r>
      <w:r w:rsidR="004C2781" w:rsidRPr="001B4EA4">
        <w:rPr>
          <w:rFonts w:ascii="Verdana" w:hAnsi="Verdana"/>
          <w:sz w:val="20"/>
          <w:szCs w:val="20"/>
          <w:lang w:val="pt-BR"/>
        </w:rPr>
        <w:t>a modalidade tende a melhorar a governança corporativa das companhias sujeitas ao processo de privatização</w:t>
      </w:r>
      <w:r w:rsidR="00771D77" w:rsidRPr="001B4EA4">
        <w:rPr>
          <w:rFonts w:ascii="Verdana" w:hAnsi="Verdana"/>
          <w:sz w:val="20"/>
          <w:szCs w:val="20"/>
          <w:lang w:val="pt-BR"/>
        </w:rPr>
        <w:t xml:space="preserve"> e </w:t>
      </w:r>
      <w:r w:rsidR="00510BA6" w:rsidRPr="001B4EA4">
        <w:rPr>
          <w:rFonts w:ascii="Verdana" w:hAnsi="Verdana"/>
          <w:sz w:val="20"/>
          <w:szCs w:val="20"/>
          <w:lang w:val="pt-BR"/>
        </w:rPr>
        <w:t>gerar</w:t>
      </w:r>
      <w:r w:rsidR="00771D77" w:rsidRPr="001B4EA4">
        <w:rPr>
          <w:rFonts w:ascii="Verdana" w:hAnsi="Verdana"/>
          <w:sz w:val="20"/>
          <w:szCs w:val="20"/>
          <w:lang w:val="pt-BR"/>
        </w:rPr>
        <w:t xml:space="preserve"> maior segurança jurídica </w:t>
      </w:r>
      <w:r w:rsidR="00510BA6" w:rsidRPr="001B4EA4">
        <w:rPr>
          <w:rFonts w:ascii="Verdana" w:hAnsi="Verdana"/>
          <w:sz w:val="20"/>
          <w:szCs w:val="20"/>
          <w:lang w:val="pt-BR"/>
        </w:rPr>
        <w:t>par</w:t>
      </w:r>
      <w:r w:rsidR="00771D77" w:rsidRPr="001B4EA4">
        <w:rPr>
          <w:rFonts w:ascii="Verdana" w:hAnsi="Verdana"/>
          <w:sz w:val="20"/>
          <w:szCs w:val="20"/>
          <w:lang w:val="pt-BR"/>
        </w:rPr>
        <w:t>a</w:t>
      </w:r>
      <w:r w:rsidR="00510BA6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="00771D77" w:rsidRPr="001B4EA4">
        <w:rPr>
          <w:rFonts w:ascii="Verdana" w:hAnsi="Verdana"/>
          <w:sz w:val="20"/>
          <w:szCs w:val="20"/>
          <w:lang w:val="pt-BR"/>
        </w:rPr>
        <w:t>os investidores</w:t>
      </w:r>
      <w:r w:rsidR="004C2781" w:rsidRPr="001B4EA4">
        <w:rPr>
          <w:rFonts w:ascii="Verdana" w:hAnsi="Verdana"/>
          <w:sz w:val="20"/>
          <w:szCs w:val="20"/>
          <w:lang w:val="pt-BR"/>
        </w:rPr>
        <w:t>.</w:t>
      </w:r>
    </w:p>
    <w:p w14:paraId="5B6B2348" w14:textId="214909C8" w:rsidR="0071624E" w:rsidRPr="001B4EA4" w:rsidRDefault="00045894" w:rsidP="001B4EA4">
      <w:pPr>
        <w:spacing w:line="276" w:lineRule="auto"/>
        <w:ind w:firstLine="708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>Ressalta-se</w:t>
      </w:r>
      <w:r w:rsidR="0073466B" w:rsidRPr="001B4EA4">
        <w:rPr>
          <w:rFonts w:ascii="Verdana" w:hAnsi="Verdana"/>
          <w:sz w:val="20"/>
          <w:szCs w:val="20"/>
          <w:lang w:val="pt-BR"/>
        </w:rPr>
        <w:t xml:space="preserve"> também</w:t>
      </w:r>
      <w:r w:rsidRPr="001B4EA4">
        <w:rPr>
          <w:rFonts w:ascii="Verdana" w:hAnsi="Verdana"/>
          <w:sz w:val="20"/>
          <w:szCs w:val="20"/>
          <w:lang w:val="pt-BR"/>
        </w:rPr>
        <w:t>, que, em tese,</w:t>
      </w:r>
      <w:r w:rsidR="000F7002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Pr="001B4EA4">
        <w:rPr>
          <w:rFonts w:ascii="Verdana" w:hAnsi="Verdana"/>
          <w:sz w:val="20"/>
          <w:szCs w:val="20"/>
          <w:lang w:val="pt-BR"/>
        </w:rPr>
        <w:t>a perda do controle mediante a diluição do acionista controlador em um processo progressivo configura um método mais interessante para</w:t>
      </w:r>
      <w:r w:rsidR="0071624E" w:rsidRPr="001B4EA4">
        <w:rPr>
          <w:rFonts w:ascii="Verdana" w:hAnsi="Verdana"/>
          <w:sz w:val="20"/>
          <w:szCs w:val="20"/>
          <w:lang w:val="pt-BR"/>
        </w:rPr>
        <w:t xml:space="preserve">: </w:t>
      </w:r>
    </w:p>
    <w:p w14:paraId="50140ECA" w14:textId="07333C8E" w:rsidR="0071624E" w:rsidRPr="001B4EA4" w:rsidRDefault="00045894" w:rsidP="001B4EA4">
      <w:pPr>
        <w:pStyle w:val="PargrafodaLista"/>
        <w:numPr>
          <w:ilvl w:val="0"/>
          <w:numId w:val="32"/>
        </w:numPr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 xml:space="preserve">a companhia, que de maneira gradativa terá a </w:t>
      </w:r>
      <w:r w:rsidR="001531B3">
        <w:rPr>
          <w:rFonts w:ascii="Verdana" w:hAnsi="Verdana"/>
          <w:sz w:val="20"/>
          <w:szCs w:val="20"/>
          <w:lang w:val="pt-BR"/>
        </w:rPr>
        <w:t>qualificação d</w:t>
      </w:r>
      <w:r w:rsidRPr="001B4EA4">
        <w:rPr>
          <w:rFonts w:ascii="Verdana" w:hAnsi="Verdana"/>
          <w:sz w:val="20"/>
          <w:szCs w:val="20"/>
          <w:lang w:val="pt-BR"/>
        </w:rPr>
        <w:t xml:space="preserve">a gestão e, consequentemente, passará a adotar boas práticas de governança corporativa; </w:t>
      </w:r>
    </w:p>
    <w:p w14:paraId="678D778E" w14:textId="009415B0" w:rsidR="0071624E" w:rsidRPr="001B4EA4" w:rsidRDefault="00045894" w:rsidP="001B4EA4">
      <w:pPr>
        <w:pStyle w:val="PargrafodaLista"/>
        <w:numPr>
          <w:ilvl w:val="0"/>
          <w:numId w:val="32"/>
        </w:numPr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 xml:space="preserve">o Estado, que perceberá um incremento no seu ativo em decorrência do item (i) e contará com a contribuição de acionistas/investidores qualificados e profissionais na sociedade; </w:t>
      </w:r>
    </w:p>
    <w:p w14:paraId="5E8C159A" w14:textId="4C10BAA2" w:rsidR="000F7002" w:rsidRPr="001B4EA4" w:rsidRDefault="00045894" w:rsidP="001B4EA4">
      <w:pPr>
        <w:pStyle w:val="PargrafodaLista"/>
        <w:numPr>
          <w:ilvl w:val="0"/>
          <w:numId w:val="32"/>
        </w:numPr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>o investidor, que terá condições de analisar e tomar sua decisão de investimento com base nos avanços percebidos na companhia.</w:t>
      </w:r>
    </w:p>
    <w:p w14:paraId="5C94AF85" w14:textId="79350533" w:rsidR="000C5BCA" w:rsidRPr="001B4EA4" w:rsidRDefault="00C16E7F" w:rsidP="001B4EA4">
      <w:pPr>
        <w:spacing w:line="276" w:lineRule="auto"/>
        <w:ind w:firstLine="708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>De qualquer forma,</w:t>
      </w:r>
      <w:r w:rsidR="000C5BCA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="0030511C" w:rsidRPr="001B4EA4">
        <w:rPr>
          <w:rFonts w:ascii="Verdana" w:hAnsi="Verdana"/>
          <w:sz w:val="20"/>
          <w:szCs w:val="20"/>
          <w:lang w:val="pt-BR"/>
        </w:rPr>
        <w:t>para atrair compradores que estejam dispostos tanto a pagar um preço ra</w:t>
      </w:r>
      <w:r w:rsidR="00510BA6" w:rsidRPr="001B4EA4">
        <w:rPr>
          <w:rFonts w:ascii="Verdana" w:hAnsi="Verdana"/>
          <w:sz w:val="20"/>
          <w:szCs w:val="20"/>
          <w:lang w:val="pt-BR"/>
        </w:rPr>
        <w:t>zoável pelas ações da companhia quanto</w:t>
      </w:r>
      <w:r w:rsidR="0030511C" w:rsidRPr="001B4EA4">
        <w:rPr>
          <w:rFonts w:ascii="Verdana" w:hAnsi="Verdana"/>
          <w:sz w:val="20"/>
          <w:szCs w:val="20"/>
          <w:lang w:val="pt-BR"/>
        </w:rPr>
        <w:t xml:space="preserve"> a melhorar a sua eficiência, o governo precisa tornar a companhia estatal mais atrativa.</w:t>
      </w:r>
      <w:r w:rsidR="00275ED3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="0030511C" w:rsidRPr="001B4EA4">
        <w:rPr>
          <w:rFonts w:ascii="Verdana" w:hAnsi="Verdana"/>
          <w:sz w:val="20"/>
          <w:szCs w:val="20"/>
          <w:lang w:val="pt-BR"/>
        </w:rPr>
        <w:t>P</w:t>
      </w:r>
      <w:r w:rsidR="005D1C50" w:rsidRPr="001B4EA4">
        <w:rPr>
          <w:rFonts w:ascii="Verdana" w:hAnsi="Verdana"/>
          <w:sz w:val="20"/>
          <w:szCs w:val="20"/>
          <w:lang w:val="pt-BR"/>
        </w:rPr>
        <w:t xml:space="preserve">ara viabilizar a modelagem mais eficiente para a privatização, também </w:t>
      </w:r>
      <w:r w:rsidR="000C5BCA" w:rsidRPr="001B4EA4">
        <w:rPr>
          <w:rFonts w:ascii="Verdana" w:hAnsi="Verdana"/>
          <w:sz w:val="20"/>
          <w:szCs w:val="20"/>
          <w:lang w:val="pt-BR"/>
        </w:rPr>
        <w:t>com base nos estudos</w:t>
      </w:r>
      <w:r w:rsidR="005D1C50" w:rsidRPr="001B4EA4">
        <w:rPr>
          <w:rFonts w:ascii="Verdana" w:hAnsi="Verdana"/>
          <w:sz w:val="20"/>
          <w:szCs w:val="20"/>
          <w:lang w:val="pt-BR"/>
        </w:rPr>
        <w:t xml:space="preserve"> preparatórios</w:t>
      </w:r>
      <w:r w:rsidR="000C5BCA" w:rsidRPr="001B4EA4">
        <w:rPr>
          <w:rFonts w:ascii="Verdana" w:hAnsi="Verdana"/>
          <w:sz w:val="20"/>
          <w:szCs w:val="20"/>
          <w:lang w:val="pt-BR"/>
        </w:rPr>
        <w:t xml:space="preserve"> realizados, recomenda-se</w:t>
      </w:r>
      <w:r w:rsidR="00510BA6" w:rsidRPr="001B4EA4">
        <w:rPr>
          <w:rFonts w:ascii="Verdana" w:hAnsi="Verdana"/>
          <w:sz w:val="20"/>
          <w:szCs w:val="20"/>
          <w:lang w:val="pt-BR"/>
        </w:rPr>
        <w:t xml:space="preserve"> as</w:t>
      </w:r>
      <w:r w:rsidR="00845C3A" w:rsidRPr="001B4EA4">
        <w:rPr>
          <w:rFonts w:ascii="Verdana" w:hAnsi="Verdana"/>
          <w:sz w:val="20"/>
          <w:szCs w:val="20"/>
          <w:lang w:val="pt-BR"/>
        </w:rPr>
        <w:t xml:space="preserve"> seguintes ações</w:t>
      </w:r>
      <w:r w:rsidR="000C5BCA" w:rsidRPr="001B4EA4">
        <w:rPr>
          <w:rFonts w:ascii="Verdana" w:hAnsi="Verdana"/>
          <w:sz w:val="20"/>
          <w:szCs w:val="20"/>
          <w:lang w:val="pt-BR"/>
        </w:rPr>
        <w:t>:</w:t>
      </w:r>
    </w:p>
    <w:p w14:paraId="4F1E6917" w14:textId="77777777" w:rsidR="000C5BCA" w:rsidRPr="001B4EA4" w:rsidRDefault="000C5BCA" w:rsidP="001B4EA4">
      <w:pPr>
        <w:pStyle w:val="PargrafodaLista"/>
        <w:numPr>
          <w:ilvl w:val="0"/>
          <w:numId w:val="26"/>
        </w:numPr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>obtenção de aprovações legais ou regulamentares necessárias ou recomendáveis à privatização;</w:t>
      </w:r>
    </w:p>
    <w:p w14:paraId="5CB28726" w14:textId="5971A23F" w:rsidR="000C5BCA" w:rsidRPr="001B4EA4" w:rsidRDefault="000C5BCA" w:rsidP="001B4EA4">
      <w:pPr>
        <w:pStyle w:val="PargrafodaLista"/>
        <w:numPr>
          <w:ilvl w:val="0"/>
          <w:numId w:val="26"/>
        </w:numPr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 xml:space="preserve">restruturações, reorganizações e ajustes que devam ser implementados como condição prévia à privatização, ou para maximização do valor de venda, inclusive para incrementar </w:t>
      </w:r>
      <w:r w:rsidR="00510BA6" w:rsidRPr="001B4EA4">
        <w:rPr>
          <w:rFonts w:ascii="Verdana" w:hAnsi="Verdana"/>
          <w:sz w:val="20"/>
          <w:szCs w:val="20"/>
          <w:lang w:val="pt-BR"/>
        </w:rPr>
        <w:t xml:space="preserve">a </w:t>
      </w:r>
      <w:r w:rsidRPr="001B4EA4">
        <w:rPr>
          <w:rFonts w:ascii="Verdana" w:hAnsi="Verdana"/>
          <w:sz w:val="20"/>
          <w:szCs w:val="20"/>
          <w:lang w:val="pt-BR"/>
        </w:rPr>
        <w:t xml:space="preserve">atratividade </w:t>
      </w:r>
      <w:r w:rsidR="00510BA6" w:rsidRPr="001B4EA4">
        <w:rPr>
          <w:rFonts w:ascii="Verdana" w:hAnsi="Verdana"/>
          <w:sz w:val="20"/>
          <w:szCs w:val="20"/>
          <w:lang w:val="pt-BR"/>
        </w:rPr>
        <w:t>diante dos</w:t>
      </w:r>
      <w:r w:rsidRPr="001B4EA4">
        <w:rPr>
          <w:rFonts w:ascii="Verdana" w:hAnsi="Verdana"/>
          <w:sz w:val="20"/>
          <w:szCs w:val="20"/>
          <w:lang w:val="pt-BR"/>
        </w:rPr>
        <w:t xml:space="preserve"> investidores</w:t>
      </w:r>
      <w:r w:rsidR="0024368B">
        <w:rPr>
          <w:rFonts w:ascii="Verdana" w:hAnsi="Verdana"/>
          <w:sz w:val="20"/>
          <w:szCs w:val="20"/>
          <w:lang w:val="pt-BR"/>
        </w:rPr>
        <w:t>, sendo crucial o atendimento dos mais rigorosos padrões de governança</w:t>
      </w:r>
      <w:r w:rsidRPr="001B4EA4">
        <w:rPr>
          <w:rFonts w:ascii="Verdana" w:hAnsi="Verdana"/>
          <w:sz w:val="20"/>
          <w:szCs w:val="20"/>
          <w:lang w:val="pt-BR"/>
        </w:rPr>
        <w:t>;</w:t>
      </w:r>
    </w:p>
    <w:p w14:paraId="47F796F1" w14:textId="77777777" w:rsidR="000C5BCA" w:rsidRPr="001B4EA4" w:rsidRDefault="000C5BCA" w:rsidP="001B4EA4">
      <w:pPr>
        <w:pStyle w:val="PargrafodaLista"/>
        <w:numPr>
          <w:ilvl w:val="0"/>
          <w:numId w:val="26"/>
        </w:numPr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>modelagem e estruturação do processo de venda, incluindo:</w:t>
      </w:r>
    </w:p>
    <w:p w14:paraId="0066891A" w14:textId="77777777" w:rsidR="000C5BCA" w:rsidRPr="001B4EA4" w:rsidRDefault="000C5BCA" w:rsidP="001B4EA4">
      <w:pPr>
        <w:pStyle w:val="PargrafodaLista"/>
        <w:numPr>
          <w:ilvl w:val="1"/>
          <w:numId w:val="26"/>
        </w:numPr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>o estudo comparativo da melhor modalidade de venda;</w:t>
      </w:r>
    </w:p>
    <w:p w14:paraId="78A64CFC" w14:textId="18223026" w:rsidR="000C5BCA" w:rsidRPr="001B4EA4" w:rsidRDefault="000C5BCA" w:rsidP="001B4EA4">
      <w:pPr>
        <w:pStyle w:val="PargrafodaLista"/>
        <w:numPr>
          <w:ilvl w:val="1"/>
          <w:numId w:val="26"/>
        </w:numPr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 xml:space="preserve">a definição e </w:t>
      </w:r>
      <w:r w:rsidR="00510BA6" w:rsidRPr="001B4EA4">
        <w:rPr>
          <w:rFonts w:ascii="Verdana" w:hAnsi="Verdana"/>
          <w:sz w:val="20"/>
          <w:szCs w:val="20"/>
          <w:lang w:val="pt-BR"/>
        </w:rPr>
        <w:t xml:space="preserve">a </w:t>
      </w:r>
      <w:r w:rsidRPr="001B4EA4">
        <w:rPr>
          <w:rFonts w:ascii="Verdana" w:hAnsi="Verdana"/>
          <w:sz w:val="20"/>
          <w:szCs w:val="20"/>
          <w:lang w:val="pt-BR"/>
        </w:rPr>
        <w:t>redação dos principais termos e condições do contrato a ser firmado ou do seu conteúdo integral;</w:t>
      </w:r>
    </w:p>
    <w:p w14:paraId="1EE455A3" w14:textId="729DD7C0" w:rsidR="000C5BCA" w:rsidRPr="001B4EA4" w:rsidRDefault="000C5BCA" w:rsidP="001B4EA4">
      <w:pPr>
        <w:pStyle w:val="PargrafodaLista"/>
        <w:numPr>
          <w:ilvl w:val="1"/>
          <w:numId w:val="26"/>
        </w:numPr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 xml:space="preserve">a definição da modalidade licitatória ou </w:t>
      </w:r>
      <w:r w:rsidR="00510BA6" w:rsidRPr="001B4EA4">
        <w:rPr>
          <w:rFonts w:ascii="Verdana" w:hAnsi="Verdana"/>
          <w:sz w:val="20"/>
          <w:szCs w:val="20"/>
          <w:lang w:val="pt-BR"/>
        </w:rPr>
        <w:t xml:space="preserve">do </w:t>
      </w:r>
      <w:r w:rsidRPr="001B4EA4">
        <w:rPr>
          <w:rFonts w:ascii="Verdana" w:hAnsi="Verdana"/>
          <w:sz w:val="20"/>
          <w:szCs w:val="20"/>
          <w:lang w:val="pt-BR"/>
        </w:rPr>
        <w:t>processo seletivo mais recomendável às circunstâncias e exigências legais;</w:t>
      </w:r>
    </w:p>
    <w:p w14:paraId="38B61A45" w14:textId="77777777" w:rsidR="000C5BCA" w:rsidRPr="001B4EA4" w:rsidRDefault="000C5BCA" w:rsidP="001B4EA4">
      <w:pPr>
        <w:pStyle w:val="PargrafodaLista"/>
        <w:numPr>
          <w:ilvl w:val="1"/>
          <w:numId w:val="26"/>
        </w:numPr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>a definição do critério de julgamento e seleção;</w:t>
      </w:r>
    </w:p>
    <w:p w14:paraId="3D1A8A8E" w14:textId="2C6AD890" w:rsidR="000C5BCA" w:rsidRPr="001B4EA4" w:rsidRDefault="000C5BCA" w:rsidP="001B4EA4">
      <w:pPr>
        <w:pStyle w:val="PargrafodaLista"/>
        <w:numPr>
          <w:ilvl w:val="1"/>
          <w:numId w:val="26"/>
        </w:numPr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 xml:space="preserve">a redação do edital ou </w:t>
      </w:r>
      <w:r w:rsidR="00510BA6" w:rsidRPr="001B4EA4">
        <w:rPr>
          <w:rFonts w:ascii="Verdana" w:hAnsi="Verdana"/>
          <w:sz w:val="20"/>
          <w:szCs w:val="20"/>
          <w:lang w:val="pt-BR"/>
        </w:rPr>
        <w:t xml:space="preserve">de </w:t>
      </w:r>
      <w:r w:rsidRPr="001B4EA4">
        <w:rPr>
          <w:rFonts w:ascii="Verdana" w:hAnsi="Verdana"/>
          <w:sz w:val="20"/>
          <w:szCs w:val="20"/>
          <w:lang w:val="pt-BR"/>
        </w:rPr>
        <w:t>outros documentos do processo de seleção.</w:t>
      </w:r>
    </w:p>
    <w:p w14:paraId="3E4239FC" w14:textId="371F1A85" w:rsidR="000C5BCA" w:rsidRPr="001B4EA4" w:rsidRDefault="00845C3A" w:rsidP="001B4EA4">
      <w:pPr>
        <w:pStyle w:val="PargrafodaLista"/>
        <w:numPr>
          <w:ilvl w:val="0"/>
          <w:numId w:val="26"/>
        </w:numPr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 xml:space="preserve">realização de </w:t>
      </w:r>
      <w:r w:rsidR="000C5BCA" w:rsidRPr="001B4EA4">
        <w:rPr>
          <w:rFonts w:ascii="Verdana" w:hAnsi="Verdana"/>
          <w:sz w:val="20"/>
          <w:szCs w:val="20"/>
          <w:lang w:val="pt-BR"/>
        </w:rPr>
        <w:t>audiências públicas, para apresentação</w:t>
      </w:r>
      <w:r w:rsidR="00510BA6" w:rsidRPr="001B4EA4">
        <w:rPr>
          <w:rFonts w:ascii="Verdana" w:hAnsi="Verdana"/>
          <w:sz w:val="20"/>
          <w:szCs w:val="20"/>
          <w:lang w:val="pt-BR"/>
        </w:rPr>
        <w:t xml:space="preserve"> do processo,</w:t>
      </w:r>
      <w:r w:rsidR="000C5BCA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="00510BA6" w:rsidRPr="001B4EA4">
        <w:rPr>
          <w:rFonts w:ascii="Verdana" w:hAnsi="Verdana"/>
          <w:sz w:val="20"/>
          <w:szCs w:val="20"/>
          <w:lang w:val="pt-BR"/>
        </w:rPr>
        <w:t>discussão e coleta</w:t>
      </w:r>
      <w:r w:rsidR="000C5BCA" w:rsidRPr="001B4EA4">
        <w:rPr>
          <w:rFonts w:ascii="Verdana" w:hAnsi="Verdana"/>
          <w:sz w:val="20"/>
          <w:szCs w:val="20"/>
          <w:lang w:val="pt-BR"/>
        </w:rPr>
        <w:t xml:space="preserve"> de contribuições da sociedade;</w:t>
      </w:r>
    </w:p>
    <w:p w14:paraId="0DB74E91" w14:textId="66962458" w:rsidR="000C5BCA" w:rsidRPr="001B4EA4" w:rsidRDefault="00845C3A" w:rsidP="001B4EA4">
      <w:pPr>
        <w:pStyle w:val="PargrafodaLista"/>
        <w:numPr>
          <w:ilvl w:val="0"/>
          <w:numId w:val="26"/>
        </w:numPr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 xml:space="preserve">promoção de </w:t>
      </w:r>
      <w:r w:rsidR="000C5BCA" w:rsidRPr="001B4EA4">
        <w:rPr>
          <w:rFonts w:ascii="Verdana" w:hAnsi="Verdana"/>
          <w:sz w:val="20"/>
          <w:szCs w:val="20"/>
          <w:lang w:val="pt-BR"/>
        </w:rPr>
        <w:t xml:space="preserve">consulta pública, com disponibilização eletrônica das minutas de edital, contrato e seus anexos, para </w:t>
      </w:r>
      <w:r w:rsidR="00510BA6" w:rsidRPr="001B4EA4">
        <w:rPr>
          <w:rFonts w:ascii="Verdana" w:hAnsi="Verdana"/>
          <w:sz w:val="20"/>
          <w:szCs w:val="20"/>
          <w:lang w:val="pt-BR"/>
        </w:rPr>
        <w:t>acolhimento</w:t>
      </w:r>
      <w:r w:rsidR="000C5BCA" w:rsidRPr="001B4EA4">
        <w:rPr>
          <w:rFonts w:ascii="Verdana" w:hAnsi="Verdana"/>
          <w:sz w:val="20"/>
          <w:szCs w:val="20"/>
          <w:lang w:val="pt-BR"/>
        </w:rPr>
        <w:t xml:space="preserve"> de comentários por escrito de interessados;</w:t>
      </w:r>
    </w:p>
    <w:p w14:paraId="4C4DD83B" w14:textId="649322C3" w:rsidR="000C5BCA" w:rsidRPr="001B4EA4" w:rsidRDefault="00845C3A" w:rsidP="001B4EA4">
      <w:pPr>
        <w:pStyle w:val="PargrafodaLista"/>
        <w:numPr>
          <w:ilvl w:val="0"/>
          <w:numId w:val="26"/>
        </w:numPr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>realização de</w:t>
      </w:r>
      <w:r w:rsidRPr="001B4EA4">
        <w:rPr>
          <w:rFonts w:ascii="Verdana" w:hAnsi="Verdana"/>
          <w:i/>
          <w:sz w:val="20"/>
          <w:szCs w:val="20"/>
          <w:lang w:val="pt-BR"/>
        </w:rPr>
        <w:t xml:space="preserve"> </w:t>
      </w:r>
      <w:r w:rsidR="000C5BCA" w:rsidRPr="001B4EA4">
        <w:rPr>
          <w:rFonts w:ascii="Verdana" w:hAnsi="Verdana"/>
          <w:i/>
          <w:sz w:val="20"/>
          <w:szCs w:val="20"/>
          <w:lang w:val="pt-BR"/>
        </w:rPr>
        <w:t>road shows</w:t>
      </w:r>
      <w:r w:rsidR="000C5BCA" w:rsidRPr="001B4EA4">
        <w:rPr>
          <w:rFonts w:ascii="Verdana" w:hAnsi="Verdana"/>
          <w:sz w:val="20"/>
          <w:szCs w:val="20"/>
          <w:lang w:val="pt-BR"/>
        </w:rPr>
        <w:t xml:space="preserve">, para anúncio e apresentação ao mercado do ativo ou </w:t>
      </w:r>
      <w:r w:rsidR="00510BA6" w:rsidRPr="001B4EA4">
        <w:rPr>
          <w:rFonts w:ascii="Verdana" w:hAnsi="Verdana"/>
          <w:sz w:val="20"/>
          <w:szCs w:val="20"/>
          <w:lang w:val="pt-BR"/>
        </w:rPr>
        <w:t xml:space="preserve">da </w:t>
      </w:r>
      <w:r w:rsidR="000C5BCA" w:rsidRPr="001B4EA4">
        <w:rPr>
          <w:rFonts w:ascii="Verdana" w:hAnsi="Verdana"/>
          <w:sz w:val="20"/>
          <w:szCs w:val="20"/>
          <w:lang w:val="pt-BR"/>
        </w:rPr>
        <w:t xml:space="preserve">concessão </w:t>
      </w:r>
      <w:r w:rsidR="00510BA6" w:rsidRPr="001B4EA4">
        <w:rPr>
          <w:rFonts w:ascii="Verdana" w:hAnsi="Verdana"/>
          <w:sz w:val="20"/>
          <w:szCs w:val="20"/>
          <w:lang w:val="pt-BR"/>
        </w:rPr>
        <w:t>alvo da licitação</w:t>
      </w:r>
      <w:r w:rsidR="005D1C50" w:rsidRPr="001B4EA4">
        <w:rPr>
          <w:rFonts w:ascii="Verdana" w:hAnsi="Verdana"/>
          <w:sz w:val="20"/>
          <w:szCs w:val="20"/>
          <w:lang w:val="pt-BR"/>
        </w:rPr>
        <w:t>.</w:t>
      </w:r>
    </w:p>
    <w:p w14:paraId="53E9C81F" w14:textId="7575BD61" w:rsidR="00F069E4" w:rsidRPr="001B4EA4" w:rsidRDefault="00F069E4" w:rsidP="001B4EA4">
      <w:pPr>
        <w:spacing w:line="276" w:lineRule="auto"/>
        <w:ind w:firstLine="720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 xml:space="preserve">Note-se que </w:t>
      </w:r>
      <w:r w:rsidR="00510BA6" w:rsidRPr="001B4EA4">
        <w:rPr>
          <w:rFonts w:ascii="Verdana" w:hAnsi="Verdana"/>
          <w:sz w:val="20"/>
          <w:szCs w:val="20"/>
          <w:lang w:val="pt-BR"/>
        </w:rPr>
        <w:t>essas</w:t>
      </w:r>
      <w:r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="00510BA6" w:rsidRPr="001B4EA4">
        <w:rPr>
          <w:rFonts w:ascii="Verdana" w:hAnsi="Verdana"/>
          <w:sz w:val="20"/>
          <w:szCs w:val="20"/>
          <w:lang w:val="pt-BR"/>
        </w:rPr>
        <w:t>atividades se aproximam das</w:t>
      </w:r>
      <w:r w:rsidRPr="001B4EA4">
        <w:rPr>
          <w:rFonts w:ascii="Verdana" w:hAnsi="Verdana"/>
          <w:sz w:val="20"/>
          <w:szCs w:val="20"/>
          <w:lang w:val="pt-BR"/>
        </w:rPr>
        <w:t xml:space="preserve"> melhores práticas contempladas em estudos de impacto regulatório ou assemelhados, já exigidos em diversas disposições legais</w:t>
      </w:r>
      <w:r w:rsidR="00E83EF6" w:rsidRPr="001B4EA4">
        <w:rPr>
          <w:rFonts w:ascii="Verdana" w:hAnsi="Verdana"/>
          <w:sz w:val="20"/>
          <w:szCs w:val="20"/>
          <w:lang w:val="pt-BR"/>
        </w:rPr>
        <w:t xml:space="preserve">, como o art. 5º da </w:t>
      </w:r>
      <w:r w:rsidR="00ED1CE3">
        <w:rPr>
          <w:rFonts w:ascii="Verdana" w:hAnsi="Verdana"/>
          <w:sz w:val="20"/>
          <w:szCs w:val="20"/>
          <w:lang w:val="pt-BR"/>
        </w:rPr>
        <w:t xml:space="preserve">Lei 13.874/2019, </w:t>
      </w:r>
      <w:r w:rsidR="00ED1CE3" w:rsidRPr="00ED1CE3">
        <w:rPr>
          <w:rFonts w:ascii="Verdana" w:hAnsi="Verdana"/>
          <w:sz w:val="20"/>
          <w:szCs w:val="20"/>
          <w:lang w:val="pt-BR"/>
        </w:rPr>
        <w:t>a Declaração de Direitos de Liberdade Econômica</w:t>
      </w:r>
      <w:r w:rsidR="00ED1CE3">
        <w:rPr>
          <w:rFonts w:ascii="Verdana" w:hAnsi="Verdana"/>
          <w:sz w:val="20"/>
          <w:szCs w:val="20"/>
          <w:lang w:val="pt-BR"/>
        </w:rPr>
        <w:t>,</w:t>
      </w:r>
      <w:r w:rsidR="00E83EF6" w:rsidRPr="001B4EA4">
        <w:rPr>
          <w:rFonts w:ascii="Verdana" w:hAnsi="Verdana"/>
          <w:sz w:val="20"/>
          <w:szCs w:val="20"/>
          <w:lang w:val="pt-BR"/>
        </w:rPr>
        <w:t xml:space="preserve"> e o art. 6º da Lei 13.848/2019</w:t>
      </w:r>
      <w:r w:rsidR="000E5531" w:rsidRPr="001B4EA4">
        <w:rPr>
          <w:rFonts w:ascii="Verdana" w:hAnsi="Verdana"/>
          <w:sz w:val="20"/>
          <w:szCs w:val="20"/>
          <w:lang w:val="pt-BR"/>
        </w:rPr>
        <w:t>, a Lei das Agências Reguladoras</w:t>
      </w:r>
      <w:r w:rsidR="00E83EF6" w:rsidRPr="001B4EA4">
        <w:rPr>
          <w:rFonts w:ascii="Verdana" w:hAnsi="Verdana"/>
          <w:sz w:val="20"/>
          <w:szCs w:val="20"/>
          <w:lang w:val="pt-BR"/>
        </w:rPr>
        <w:t xml:space="preserve">. </w:t>
      </w:r>
    </w:p>
    <w:p w14:paraId="11636133" w14:textId="58B3384E" w:rsidR="00ED632D" w:rsidRPr="001B4EA4" w:rsidRDefault="00ED632D" w:rsidP="001B4EA4">
      <w:pPr>
        <w:spacing w:line="276" w:lineRule="auto"/>
        <w:ind w:firstLine="720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>Para privatizações por oferta pública de ações, aconselha-se</w:t>
      </w:r>
      <w:r w:rsidR="00F069E4" w:rsidRPr="001B4EA4">
        <w:rPr>
          <w:rFonts w:ascii="Verdana" w:hAnsi="Verdana"/>
          <w:sz w:val="20"/>
          <w:szCs w:val="20"/>
          <w:lang w:val="pt-BR"/>
        </w:rPr>
        <w:t xml:space="preserve"> considerar eventual i</w:t>
      </w:r>
      <w:r w:rsidRPr="001B4EA4">
        <w:rPr>
          <w:rFonts w:ascii="Verdana" w:hAnsi="Verdana"/>
          <w:sz w:val="20"/>
          <w:szCs w:val="20"/>
          <w:lang w:val="pt-BR"/>
        </w:rPr>
        <w:t>ncentivo à aquisição de ações por empregados da companhia, paralelamente à venda para o público em geral.</w:t>
      </w:r>
      <w:r w:rsidR="00275ED3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="00510BA6" w:rsidRPr="001B4EA4">
        <w:rPr>
          <w:rFonts w:ascii="Verdana" w:hAnsi="Verdana"/>
          <w:sz w:val="20"/>
          <w:szCs w:val="20"/>
          <w:lang w:val="pt-BR"/>
        </w:rPr>
        <w:t>Esse</w:t>
      </w:r>
      <w:r w:rsidRPr="001B4EA4">
        <w:rPr>
          <w:rFonts w:ascii="Verdana" w:hAnsi="Verdana"/>
          <w:sz w:val="20"/>
          <w:szCs w:val="20"/>
          <w:lang w:val="pt-BR"/>
        </w:rPr>
        <w:t xml:space="preserve"> incentivo pode reduzir resistências internas ao processo de privatização e ampliar o alinhamento futuro do conjunto de funcionários com as alterações feitas na companhia</w:t>
      </w:r>
      <w:r w:rsidR="00102F21" w:rsidRPr="001B4EA4">
        <w:rPr>
          <w:rFonts w:ascii="Verdana" w:hAnsi="Verdana"/>
          <w:sz w:val="20"/>
          <w:szCs w:val="20"/>
          <w:lang w:val="pt-BR"/>
        </w:rPr>
        <w:t>.</w:t>
      </w:r>
    </w:p>
    <w:p w14:paraId="0BC2789C" w14:textId="02C62D11" w:rsidR="009D48F0" w:rsidRPr="001B4EA4" w:rsidRDefault="009D48F0" w:rsidP="001B4EA4">
      <w:pPr>
        <w:spacing w:line="276" w:lineRule="auto"/>
        <w:ind w:firstLine="720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 xml:space="preserve">A oferta </w:t>
      </w:r>
      <w:r w:rsidR="00F069E4" w:rsidRPr="001B4EA4">
        <w:rPr>
          <w:rFonts w:ascii="Verdana" w:hAnsi="Verdana"/>
          <w:sz w:val="20"/>
          <w:szCs w:val="20"/>
          <w:lang w:val="pt-BR"/>
        </w:rPr>
        <w:t>poderá eventualmente</w:t>
      </w:r>
      <w:r w:rsidRPr="001B4EA4">
        <w:rPr>
          <w:rFonts w:ascii="Verdana" w:hAnsi="Verdana"/>
          <w:sz w:val="20"/>
          <w:szCs w:val="20"/>
          <w:lang w:val="pt-BR"/>
        </w:rPr>
        <w:t xml:space="preserve"> prever restrições à porcentagem do capital que pode ser adquirida por acionistas individuais. Também pode ser incluída no estatuto </w:t>
      </w:r>
      <w:r w:rsidR="000D5AD2" w:rsidRPr="001B4EA4">
        <w:rPr>
          <w:rFonts w:ascii="Verdana" w:hAnsi="Verdana"/>
          <w:sz w:val="20"/>
          <w:szCs w:val="20"/>
          <w:lang w:val="pt-BR"/>
        </w:rPr>
        <w:t>um mecanismo de proteção contra tomada de controle (</w:t>
      </w:r>
      <w:r w:rsidR="000D5AD2" w:rsidRPr="007135F8">
        <w:rPr>
          <w:rFonts w:ascii="Verdana" w:hAnsi="Verdana"/>
          <w:i/>
          <w:sz w:val="20"/>
          <w:szCs w:val="20"/>
          <w:lang w:val="pt-BR"/>
        </w:rPr>
        <w:t>poison pill</w:t>
      </w:r>
      <w:r w:rsidR="000D5AD2" w:rsidRPr="001B4EA4">
        <w:rPr>
          <w:rFonts w:ascii="Verdana" w:hAnsi="Verdana"/>
          <w:sz w:val="20"/>
          <w:szCs w:val="20"/>
          <w:lang w:val="pt-BR"/>
        </w:rPr>
        <w:t>)</w:t>
      </w:r>
      <w:r w:rsidR="00C16367" w:rsidRPr="001B4EA4">
        <w:rPr>
          <w:rStyle w:val="Refdenotaderodap"/>
          <w:rFonts w:ascii="Verdana" w:hAnsi="Verdana"/>
          <w:sz w:val="20"/>
          <w:szCs w:val="20"/>
          <w:lang w:val="pt-BR"/>
        </w:rPr>
        <w:footnoteReference w:id="8"/>
      </w:r>
      <w:r w:rsidRPr="001B4EA4">
        <w:rPr>
          <w:rFonts w:ascii="Verdana" w:hAnsi="Verdana"/>
          <w:sz w:val="20"/>
          <w:szCs w:val="20"/>
          <w:lang w:val="pt-BR"/>
        </w:rPr>
        <w:t xml:space="preserve"> com o objetivo de evitar a concentração do controle.</w:t>
      </w:r>
    </w:p>
    <w:p w14:paraId="1A24659E" w14:textId="4CB4A8E3" w:rsidR="00102F21" w:rsidRPr="001B4EA4" w:rsidRDefault="00102F21" w:rsidP="001B4EA4">
      <w:pPr>
        <w:spacing w:line="276" w:lineRule="auto"/>
        <w:ind w:firstLine="720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 xml:space="preserve">O preço </w:t>
      </w:r>
      <w:r w:rsidR="00F069E4" w:rsidRPr="001B4EA4">
        <w:rPr>
          <w:rFonts w:ascii="Verdana" w:hAnsi="Verdana"/>
          <w:sz w:val="20"/>
          <w:szCs w:val="20"/>
          <w:lang w:val="pt-BR"/>
        </w:rPr>
        <w:t xml:space="preserve">mínimo </w:t>
      </w:r>
      <w:r w:rsidRPr="001B4EA4">
        <w:rPr>
          <w:rFonts w:ascii="Verdana" w:hAnsi="Verdana"/>
          <w:sz w:val="20"/>
          <w:szCs w:val="20"/>
          <w:lang w:val="pt-BR"/>
        </w:rPr>
        <w:t xml:space="preserve">das ações deve ser cuidadosamente estabelecido, de modo a evitar alegações de que o Estado </w:t>
      </w:r>
      <w:r w:rsidR="00510BA6" w:rsidRPr="001B4EA4">
        <w:rPr>
          <w:rFonts w:ascii="Verdana" w:hAnsi="Verdana"/>
          <w:sz w:val="20"/>
          <w:szCs w:val="20"/>
          <w:lang w:val="pt-BR"/>
        </w:rPr>
        <w:t>“</w:t>
      </w:r>
      <w:r w:rsidRPr="001B4EA4">
        <w:rPr>
          <w:rFonts w:ascii="Verdana" w:hAnsi="Verdana"/>
          <w:sz w:val="20"/>
          <w:szCs w:val="20"/>
          <w:lang w:val="pt-BR"/>
        </w:rPr>
        <w:t>entregou</w:t>
      </w:r>
      <w:r w:rsidR="00510BA6" w:rsidRPr="001B4EA4">
        <w:rPr>
          <w:rFonts w:ascii="Verdana" w:hAnsi="Verdana"/>
          <w:sz w:val="20"/>
          <w:szCs w:val="20"/>
          <w:lang w:val="pt-BR"/>
        </w:rPr>
        <w:t xml:space="preserve">” </w:t>
      </w:r>
      <w:r w:rsidRPr="001B4EA4">
        <w:rPr>
          <w:rFonts w:ascii="Verdana" w:hAnsi="Verdana"/>
          <w:sz w:val="20"/>
          <w:szCs w:val="20"/>
          <w:lang w:val="pt-BR"/>
        </w:rPr>
        <w:t xml:space="preserve">patrimônio público a compradores </w:t>
      </w:r>
      <w:r w:rsidR="00510BA6" w:rsidRPr="001B4EA4">
        <w:rPr>
          <w:rFonts w:ascii="Verdana" w:hAnsi="Verdana"/>
          <w:sz w:val="20"/>
          <w:szCs w:val="20"/>
          <w:lang w:val="pt-BR"/>
        </w:rPr>
        <w:t>privados</w:t>
      </w:r>
      <w:r w:rsidRPr="001B4EA4">
        <w:rPr>
          <w:rFonts w:ascii="Verdana" w:hAnsi="Verdana"/>
          <w:sz w:val="20"/>
          <w:szCs w:val="20"/>
          <w:lang w:val="pt-BR"/>
        </w:rPr>
        <w:t xml:space="preserve">. </w:t>
      </w:r>
      <w:r w:rsidR="00DA2BF2" w:rsidRPr="001B4EA4">
        <w:rPr>
          <w:rFonts w:ascii="Verdana" w:hAnsi="Verdana"/>
          <w:sz w:val="20"/>
          <w:szCs w:val="20"/>
          <w:lang w:val="pt-BR"/>
        </w:rPr>
        <w:t>A</w:t>
      </w:r>
      <w:r w:rsidR="004D0920" w:rsidRPr="001B4EA4">
        <w:rPr>
          <w:rFonts w:ascii="Verdana" w:hAnsi="Verdana"/>
          <w:sz w:val="20"/>
          <w:szCs w:val="20"/>
          <w:lang w:val="pt-BR"/>
        </w:rPr>
        <w:t xml:space="preserve">crescente-se que o </w:t>
      </w:r>
      <w:r w:rsidR="00510BA6" w:rsidRPr="001B4EA4">
        <w:rPr>
          <w:rFonts w:ascii="Verdana" w:hAnsi="Verdana"/>
          <w:sz w:val="20"/>
          <w:szCs w:val="20"/>
          <w:lang w:val="pt-BR"/>
        </w:rPr>
        <w:t>c</w:t>
      </w:r>
      <w:r w:rsidR="004D0920" w:rsidRPr="001B4EA4">
        <w:rPr>
          <w:rFonts w:ascii="Verdana" w:hAnsi="Verdana"/>
          <w:sz w:val="20"/>
          <w:szCs w:val="20"/>
          <w:lang w:val="pt-BR"/>
        </w:rPr>
        <w:t xml:space="preserve">onselho de </w:t>
      </w:r>
      <w:r w:rsidR="00510BA6" w:rsidRPr="001B4EA4">
        <w:rPr>
          <w:rFonts w:ascii="Verdana" w:hAnsi="Verdana"/>
          <w:sz w:val="20"/>
          <w:szCs w:val="20"/>
          <w:lang w:val="pt-BR"/>
        </w:rPr>
        <w:t>a</w:t>
      </w:r>
      <w:r w:rsidR="004D0920" w:rsidRPr="001B4EA4">
        <w:rPr>
          <w:rFonts w:ascii="Verdana" w:hAnsi="Verdana"/>
          <w:sz w:val="20"/>
          <w:szCs w:val="20"/>
          <w:lang w:val="pt-BR"/>
        </w:rPr>
        <w:t xml:space="preserve">dministração da companhia deve liderar </w:t>
      </w:r>
      <w:r w:rsidR="00B50AB3" w:rsidRPr="001B4EA4">
        <w:rPr>
          <w:rFonts w:ascii="Verdana" w:hAnsi="Verdana"/>
          <w:sz w:val="20"/>
          <w:szCs w:val="20"/>
          <w:lang w:val="pt-BR"/>
        </w:rPr>
        <w:t>e orientar</w:t>
      </w:r>
      <w:r w:rsidR="004D0920" w:rsidRPr="001B4EA4">
        <w:rPr>
          <w:rFonts w:ascii="Verdana" w:hAnsi="Verdana"/>
          <w:sz w:val="20"/>
          <w:szCs w:val="20"/>
          <w:lang w:val="pt-BR"/>
        </w:rPr>
        <w:t xml:space="preserve"> a precificação</w:t>
      </w:r>
      <w:r w:rsidR="00F069E4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="004D0920" w:rsidRPr="001B4EA4">
        <w:rPr>
          <w:rFonts w:ascii="Verdana" w:hAnsi="Verdana"/>
          <w:sz w:val="20"/>
          <w:szCs w:val="20"/>
          <w:lang w:val="pt-BR"/>
        </w:rPr>
        <w:t xml:space="preserve">nos casos em que a oferta seja não apenas para a alienação do controle, mas também relacionada com um aumento de capital e </w:t>
      </w:r>
      <w:r w:rsidR="00510BA6" w:rsidRPr="001B4EA4">
        <w:rPr>
          <w:rFonts w:ascii="Verdana" w:hAnsi="Verdana"/>
          <w:sz w:val="20"/>
          <w:szCs w:val="20"/>
          <w:lang w:val="pt-BR"/>
        </w:rPr>
        <w:t>um</w:t>
      </w:r>
      <w:r w:rsidR="004D0920" w:rsidRPr="001B4EA4">
        <w:rPr>
          <w:rFonts w:ascii="Verdana" w:hAnsi="Verdana"/>
          <w:sz w:val="20"/>
          <w:szCs w:val="20"/>
          <w:lang w:val="pt-BR"/>
        </w:rPr>
        <w:t>a distribuição primária de ações.</w:t>
      </w:r>
    </w:p>
    <w:p w14:paraId="4424B502" w14:textId="77777777" w:rsidR="00B77231" w:rsidRPr="001B4EA4" w:rsidRDefault="00B77231" w:rsidP="001B4EA4">
      <w:pPr>
        <w:spacing w:line="276" w:lineRule="auto"/>
        <w:ind w:firstLine="720"/>
        <w:jc w:val="both"/>
        <w:rPr>
          <w:rFonts w:ascii="Verdana" w:hAnsi="Verdana"/>
          <w:sz w:val="20"/>
          <w:szCs w:val="20"/>
          <w:lang w:val="pt-BR"/>
        </w:rPr>
      </w:pPr>
    </w:p>
    <w:p w14:paraId="6E63A005" w14:textId="7FDE1CED" w:rsidR="0053676C" w:rsidRPr="00215482" w:rsidRDefault="008F2CBB" w:rsidP="001B4EA4">
      <w:pPr>
        <w:pStyle w:val="Ttulo3"/>
        <w:spacing w:line="276" w:lineRule="auto"/>
        <w:jc w:val="both"/>
        <w:rPr>
          <w:rFonts w:ascii="Verdana" w:hAnsi="Verdana"/>
          <w:b/>
          <w:sz w:val="20"/>
          <w:szCs w:val="20"/>
          <w:lang w:val="pt-BR"/>
        </w:rPr>
      </w:pPr>
      <w:bookmarkStart w:id="27" w:name="_Ref14688277"/>
      <w:bookmarkStart w:id="28" w:name="_Toc20752235"/>
      <w:r w:rsidRPr="00215482">
        <w:rPr>
          <w:rFonts w:ascii="Verdana" w:hAnsi="Verdana"/>
          <w:b/>
          <w:sz w:val="20"/>
          <w:szCs w:val="20"/>
          <w:lang w:val="pt-BR"/>
        </w:rPr>
        <w:t xml:space="preserve">1.4 </w:t>
      </w:r>
      <w:r w:rsidR="009D3DE1" w:rsidRPr="00215482">
        <w:rPr>
          <w:rFonts w:ascii="Verdana" w:hAnsi="Verdana"/>
          <w:b/>
          <w:sz w:val="20"/>
          <w:szCs w:val="20"/>
          <w:lang w:val="pt-BR"/>
        </w:rPr>
        <w:t>Estruturação</w:t>
      </w:r>
      <w:r w:rsidR="0053676C" w:rsidRPr="00215482">
        <w:rPr>
          <w:rFonts w:ascii="Verdana" w:hAnsi="Verdana"/>
          <w:b/>
          <w:sz w:val="20"/>
          <w:szCs w:val="20"/>
          <w:lang w:val="pt-BR"/>
        </w:rPr>
        <w:t xml:space="preserve"> da governança</w:t>
      </w:r>
      <w:bookmarkEnd w:id="27"/>
      <w:bookmarkEnd w:id="28"/>
    </w:p>
    <w:p w14:paraId="7A2675ED" w14:textId="77777777" w:rsidR="00B77231" w:rsidRPr="001B4EA4" w:rsidRDefault="00B77231" w:rsidP="001B4EA4">
      <w:pPr>
        <w:pStyle w:val="SemEspaamento"/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</w:p>
    <w:p w14:paraId="040326EC" w14:textId="55E7E8FE" w:rsidR="0053676C" w:rsidRPr="001B4EA4" w:rsidRDefault="00056EFC" w:rsidP="001B4EA4">
      <w:pPr>
        <w:spacing w:line="276" w:lineRule="auto"/>
        <w:ind w:firstLine="708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>O principal aspecto que altera a governança d</w:t>
      </w:r>
      <w:r w:rsidR="00510BA6" w:rsidRPr="001B4EA4">
        <w:rPr>
          <w:rFonts w:ascii="Verdana" w:hAnsi="Verdana"/>
          <w:sz w:val="20"/>
          <w:szCs w:val="20"/>
          <w:lang w:val="pt-BR"/>
        </w:rPr>
        <w:t>os processos de privatização</w:t>
      </w:r>
      <w:r w:rsidRPr="001B4EA4">
        <w:rPr>
          <w:rFonts w:ascii="Verdana" w:hAnsi="Verdana"/>
          <w:sz w:val="20"/>
          <w:szCs w:val="20"/>
          <w:lang w:val="pt-BR"/>
        </w:rPr>
        <w:t xml:space="preserve"> é a escolha entre os métodos </w:t>
      </w:r>
      <w:r w:rsidR="00A85D6D" w:rsidRPr="001B4EA4">
        <w:rPr>
          <w:rFonts w:ascii="Verdana" w:hAnsi="Verdana"/>
          <w:sz w:val="20"/>
          <w:szCs w:val="20"/>
          <w:lang w:val="pt-BR"/>
        </w:rPr>
        <w:t>elencados no item</w:t>
      </w:r>
      <w:r w:rsidR="00C1447C" w:rsidRPr="001B4EA4">
        <w:rPr>
          <w:rFonts w:ascii="Verdana" w:hAnsi="Verdana"/>
          <w:sz w:val="20"/>
          <w:szCs w:val="20"/>
          <w:lang w:val="pt-BR"/>
        </w:rPr>
        <w:t xml:space="preserve"> “Modelagem das privatizações”</w:t>
      </w:r>
      <w:r w:rsidRPr="001B4EA4">
        <w:rPr>
          <w:rFonts w:ascii="Verdana" w:hAnsi="Verdana"/>
          <w:sz w:val="20"/>
          <w:szCs w:val="20"/>
          <w:lang w:val="pt-BR"/>
        </w:rPr>
        <w:t>. Isso porque o</w:t>
      </w:r>
      <w:r w:rsidR="0053676C" w:rsidRPr="001B4EA4">
        <w:rPr>
          <w:rFonts w:ascii="Verdana" w:hAnsi="Verdana"/>
          <w:sz w:val="20"/>
          <w:szCs w:val="20"/>
          <w:lang w:val="pt-BR"/>
        </w:rPr>
        <w:t xml:space="preserve"> processo de privatização representa um impacto substancial na governança das companhias privatizadas</w:t>
      </w:r>
      <w:r w:rsidR="00A81D29" w:rsidRPr="001B4EA4">
        <w:rPr>
          <w:rFonts w:ascii="Verdana" w:hAnsi="Verdana"/>
          <w:sz w:val="20"/>
          <w:szCs w:val="20"/>
          <w:lang w:val="pt-BR"/>
        </w:rPr>
        <w:t xml:space="preserve">, </w:t>
      </w:r>
      <w:r w:rsidR="001F7C56" w:rsidRPr="001B4EA4">
        <w:rPr>
          <w:rFonts w:ascii="Verdana" w:hAnsi="Verdana"/>
          <w:sz w:val="20"/>
          <w:szCs w:val="20"/>
          <w:lang w:val="pt-BR"/>
        </w:rPr>
        <w:t>podendo acarretar</w:t>
      </w:r>
      <w:r w:rsidR="00510BA6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="00A81D29" w:rsidRPr="001B4EA4">
        <w:rPr>
          <w:rFonts w:ascii="Verdana" w:hAnsi="Verdana"/>
          <w:sz w:val="20"/>
          <w:szCs w:val="20"/>
          <w:lang w:val="pt-BR"/>
        </w:rPr>
        <w:t>mudança da administração de</w:t>
      </w:r>
      <w:r w:rsidR="00510BA6" w:rsidRPr="001B4EA4">
        <w:rPr>
          <w:rFonts w:ascii="Verdana" w:hAnsi="Verdana"/>
          <w:sz w:val="20"/>
          <w:szCs w:val="20"/>
          <w:lang w:val="pt-BR"/>
        </w:rPr>
        <w:t xml:space="preserve">pois de concluído o processo </w:t>
      </w:r>
      <w:r w:rsidR="001F7C56" w:rsidRPr="001B4EA4">
        <w:rPr>
          <w:rFonts w:ascii="Verdana" w:hAnsi="Verdana"/>
          <w:sz w:val="20"/>
          <w:szCs w:val="20"/>
          <w:lang w:val="pt-BR"/>
        </w:rPr>
        <w:t>e</w:t>
      </w:r>
      <w:r w:rsidR="00510BA6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="00A81D29" w:rsidRPr="001B4EA4">
        <w:rPr>
          <w:rFonts w:ascii="Verdana" w:hAnsi="Verdana"/>
          <w:sz w:val="20"/>
          <w:szCs w:val="20"/>
          <w:lang w:val="pt-BR"/>
        </w:rPr>
        <w:t>perda da memória institucional da companhia.</w:t>
      </w:r>
      <w:r w:rsidRPr="001B4EA4">
        <w:rPr>
          <w:rFonts w:ascii="Verdana" w:hAnsi="Verdana"/>
          <w:sz w:val="20"/>
          <w:szCs w:val="20"/>
          <w:lang w:val="pt-BR"/>
        </w:rPr>
        <w:t xml:space="preserve"> </w:t>
      </w:r>
    </w:p>
    <w:p w14:paraId="09D28885" w14:textId="5AAC2C6D" w:rsidR="00077613" w:rsidRDefault="00C87031" w:rsidP="001B4EA4">
      <w:pPr>
        <w:pStyle w:val="SemEspaamento"/>
        <w:spacing w:line="276" w:lineRule="auto"/>
        <w:ind w:firstLine="708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>A implementação de práticas adequadas de governança corporativa colabora</w:t>
      </w:r>
      <w:r w:rsidR="00E4544B" w:rsidRPr="001B4EA4">
        <w:rPr>
          <w:rFonts w:ascii="Verdana" w:hAnsi="Verdana"/>
          <w:sz w:val="20"/>
          <w:szCs w:val="20"/>
          <w:lang w:val="pt-BR"/>
        </w:rPr>
        <w:t xml:space="preserve"> para a qualidade da gestão e </w:t>
      </w:r>
      <w:r w:rsidR="00947226" w:rsidRPr="001B4EA4">
        <w:rPr>
          <w:rFonts w:ascii="Verdana" w:hAnsi="Verdana"/>
          <w:sz w:val="20"/>
          <w:szCs w:val="20"/>
          <w:lang w:val="pt-BR"/>
        </w:rPr>
        <w:t xml:space="preserve">a </w:t>
      </w:r>
      <w:r w:rsidR="00E4544B" w:rsidRPr="001B4EA4">
        <w:rPr>
          <w:rFonts w:ascii="Verdana" w:hAnsi="Verdana"/>
          <w:sz w:val="20"/>
          <w:szCs w:val="20"/>
          <w:lang w:val="pt-BR"/>
        </w:rPr>
        <w:t>otimização de valor econômico da empresa, além de contribu</w:t>
      </w:r>
      <w:r w:rsidRPr="001B4EA4">
        <w:rPr>
          <w:rFonts w:ascii="Verdana" w:hAnsi="Verdana"/>
          <w:sz w:val="20"/>
          <w:szCs w:val="20"/>
          <w:lang w:val="pt-BR"/>
        </w:rPr>
        <w:t>i</w:t>
      </w:r>
      <w:r w:rsidR="00E4544B" w:rsidRPr="001B4EA4">
        <w:rPr>
          <w:rFonts w:ascii="Verdana" w:hAnsi="Verdana"/>
          <w:sz w:val="20"/>
          <w:szCs w:val="20"/>
          <w:lang w:val="pt-BR"/>
        </w:rPr>
        <w:t xml:space="preserve">r para processos de tomada de decisão transparentes e </w:t>
      </w:r>
      <w:r w:rsidRPr="001B4EA4">
        <w:rPr>
          <w:rFonts w:ascii="Verdana" w:hAnsi="Verdana"/>
          <w:sz w:val="20"/>
          <w:szCs w:val="20"/>
          <w:lang w:val="pt-BR"/>
        </w:rPr>
        <w:t>ganhos reputacionais.</w:t>
      </w:r>
      <w:r w:rsidR="00EA51F9" w:rsidRPr="001B4EA4">
        <w:rPr>
          <w:rFonts w:ascii="Verdana" w:hAnsi="Verdana"/>
          <w:sz w:val="20"/>
          <w:szCs w:val="20"/>
          <w:lang w:val="pt-BR"/>
        </w:rPr>
        <w:t xml:space="preserve"> Es</w:t>
      </w:r>
      <w:r w:rsidR="00947226" w:rsidRPr="001B4EA4">
        <w:rPr>
          <w:rFonts w:ascii="Verdana" w:hAnsi="Verdana"/>
          <w:sz w:val="20"/>
          <w:szCs w:val="20"/>
          <w:lang w:val="pt-BR"/>
        </w:rPr>
        <w:t>s</w:t>
      </w:r>
      <w:r w:rsidR="00EA51F9" w:rsidRPr="001B4EA4">
        <w:rPr>
          <w:rFonts w:ascii="Verdana" w:hAnsi="Verdana"/>
          <w:sz w:val="20"/>
          <w:szCs w:val="20"/>
          <w:lang w:val="pt-BR"/>
        </w:rPr>
        <w:t xml:space="preserve">e processo de aperfeiçoamento </w:t>
      </w:r>
      <w:r w:rsidR="00947226" w:rsidRPr="001B4EA4">
        <w:rPr>
          <w:rFonts w:ascii="Verdana" w:hAnsi="Verdana"/>
          <w:sz w:val="20"/>
          <w:szCs w:val="20"/>
          <w:lang w:val="pt-BR"/>
        </w:rPr>
        <w:t>ocorre</w:t>
      </w:r>
      <w:r w:rsidR="00EA51F9" w:rsidRPr="001B4EA4">
        <w:rPr>
          <w:rFonts w:ascii="Verdana" w:hAnsi="Verdana"/>
          <w:sz w:val="20"/>
          <w:szCs w:val="20"/>
          <w:lang w:val="pt-BR"/>
        </w:rPr>
        <w:t xml:space="preserve"> através da previsão de procedimentos visando eficiência, integridade e impessoalidade</w:t>
      </w:r>
      <w:r w:rsidR="006D0D4C" w:rsidRPr="001B4EA4">
        <w:rPr>
          <w:rFonts w:ascii="Verdana" w:hAnsi="Verdana"/>
          <w:sz w:val="20"/>
          <w:szCs w:val="20"/>
          <w:lang w:val="pt-BR"/>
        </w:rPr>
        <w:t xml:space="preserve"> na tomada de decisões</w:t>
      </w:r>
      <w:r w:rsidR="00EA51F9" w:rsidRPr="001B4EA4">
        <w:rPr>
          <w:rFonts w:ascii="Verdana" w:hAnsi="Verdana"/>
          <w:sz w:val="20"/>
          <w:szCs w:val="20"/>
          <w:lang w:val="pt-BR"/>
        </w:rPr>
        <w:t xml:space="preserve">. </w:t>
      </w:r>
    </w:p>
    <w:p w14:paraId="5C46112E" w14:textId="77777777" w:rsidR="00215482" w:rsidRPr="001B4EA4" w:rsidRDefault="00215482" w:rsidP="001B4EA4">
      <w:pPr>
        <w:pStyle w:val="SemEspaamento"/>
        <w:spacing w:line="276" w:lineRule="auto"/>
        <w:ind w:firstLine="708"/>
        <w:jc w:val="both"/>
        <w:rPr>
          <w:rFonts w:ascii="Verdana" w:hAnsi="Verdana"/>
          <w:sz w:val="20"/>
          <w:szCs w:val="20"/>
          <w:lang w:val="pt-BR"/>
        </w:rPr>
      </w:pPr>
    </w:p>
    <w:p w14:paraId="0CC54216" w14:textId="77777777" w:rsidR="00B77231" w:rsidRPr="001B4EA4" w:rsidRDefault="00B77231" w:rsidP="001B4EA4">
      <w:pPr>
        <w:pStyle w:val="SemEspaamento"/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</w:p>
    <w:tbl>
      <w:tblPr>
        <w:tblStyle w:val="TabeladeLista3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4318E" w:rsidRPr="001B4EA4" w14:paraId="4C27B468" w14:textId="77777777" w:rsidTr="002154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1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tcBorders>
              <w:right w:val="single" w:sz="4" w:space="0" w:color="auto"/>
            </w:tcBorders>
            <w:vAlign w:val="center"/>
          </w:tcPr>
          <w:p w14:paraId="4F3F5834" w14:textId="77777777" w:rsidR="00B4318E" w:rsidRPr="001B4EA4" w:rsidRDefault="00B4318E" w:rsidP="001B4EA4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pt-BR"/>
              </w:rPr>
            </w:pPr>
            <w:r w:rsidRPr="001B4EA4">
              <w:rPr>
                <w:rFonts w:ascii="Verdana" w:hAnsi="Verdana"/>
                <w:sz w:val="20"/>
                <w:szCs w:val="20"/>
                <w:lang w:val="pt-BR"/>
              </w:rPr>
              <w:t>Recomendação</w:t>
            </w:r>
          </w:p>
        </w:tc>
      </w:tr>
      <w:tr w:rsidR="00B4318E" w:rsidRPr="006F538F" w14:paraId="15146027" w14:textId="77777777" w:rsidTr="002154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vAlign w:val="center"/>
          </w:tcPr>
          <w:p w14:paraId="2A40DABD" w14:textId="6ACA7EF1" w:rsidR="00B4318E" w:rsidRPr="00157AE3" w:rsidRDefault="00B4318E" w:rsidP="001B4EA4">
            <w:pPr>
              <w:spacing w:line="276" w:lineRule="auto"/>
              <w:jc w:val="both"/>
              <w:rPr>
                <w:rFonts w:ascii="Verdana" w:hAnsi="Verdana"/>
                <w:b w:val="0"/>
                <w:sz w:val="20"/>
                <w:szCs w:val="20"/>
                <w:lang w:val="pt-BR"/>
              </w:rPr>
            </w:pPr>
            <w:r w:rsidRPr="00157AE3">
              <w:rPr>
                <w:rFonts w:ascii="Verdana" w:hAnsi="Verdana"/>
                <w:b w:val="0"/>
                <w:sz w:val="20"/>
                <w:szCs w:val="20"/>
                <w:lang w:val="pt-BR"/>
              </w:rPr>
              <w:t xml:space="preserve">É importante </w:t>
            </w:r>
            <w:r w:rsidR="00947226" w:rsidRPr="00157AE3">
              <w:rPr>
                <w:rFonts w:ascii="Verdana" w:hAnsi="Verdana"/>
                <w:b w:val="0"/>
                <w:sz w:val="20"/>
                <w:szCs w:val="20"/>
                <w:lang w:val="pt-BR"/>
              </w:rPr>
              <w:t>a realização de</w:t>
            </w:r>
            <w:r w:rsidRPr="00157AE3">
              <w:rPr>
                <w:rFonts w:ascii="Verdana" w:hAnsi="Verdana"/>
                <w:b w:val="0"/>
                <w:sz w:val="20"/>
                <w:szCs w:val="20"/>
                <w:lang w:val="pt-BR"/>
              </w:rPr>
              <w:t xml:space="preserve"> atividades preparatórias para os conselhos de administração no período imediatamente anterior, para o período de transição e para o período imediatamente posterior à privatização.</w:t>
            </w:r>
          </w:p>
        </w:tc>
      </w:tr>
      <w:tr w:rsidR="00B4318E" w:rsidRPr="006F538F" w14:paraId="682458F7" w14:textId="77777777" w:rsidTr="0021548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shd w:val="clear" w:color="auto" w:fill="000000" w:themeFill="text1"/>
          </w:tcPr>
          <w:p w14:paraId="49B96354" w14:textId="77777777" w:rsidR="00B4318E" w:rsidRPr="001B4EA4" w:rsidRDefault="00B4318E" w:rsidP="001B4EA4">
            <w:pPr>
              <w:spacing w:line="276" w:lineRule="auto"/>
              <w:jc w:val="both"/>
              <w:rPr>
                <w:rFonts w:ascii="Verdana" w:hAnsi="Verdana"/>
                <w:b w:val="0"/>
                <w:sz w:val="20"/>
                <w:szCs w:val="20"/>
                <w:lang w:val="pt-BR"/>
              </w:rPr>
            </w:pPr>
          </w:p>
        </w:tc>
      </w:tr>
    </w:tbl>
    <w:p w14:paraId="264A55AB" w14:textId="77777777" w:rsidR="00B77231" w:rsidRPr="00E1329E" w:rsidRDefault="00B77231" w:rsidP="00E1329E">
      <w:pPr>
        <w:pStyle w:val="SemEspaamento"/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</w:p>
    <w:p w14:paraId="19629C2C" w14:textId="67D91B2F" w:rsidR="000F56A2" w:rsidRPr="001B4EA4" w:rsidRDefault="00FE59EB" w:rsidP="001B4EA4">
      <w:pPr>
        <w:spacing w:before="160" w:line="276" w:lineRule="auto"/>
        <w:ind w:firstLine="709"/>
        <w:jc w:val="both"/>
        <w:rPr>
          <w:rFonts w:ascii="Verdana" w:hAnsi="Verdana"/>
          <w:i/>
          <w:sz w:val="20"/>
          <w:szCs w:val="20"/>
          <w:lang w:val="pt-BR"/>
        </w:rPr>
      </w:pPr>
      <w:r w:rsidRPr="001B4EA4">
        <w:rPr>
          <w:rFonts w:ascii="Verdana" w:hAnsi="Verdana"/>
          <w:i/>
          <w:sz w:val="20"/>
          <w:szCs w:val="20"/>
          <w:lang w:val="pt-BR"/>
        </w:rPr>
        <w:t>Aplicação</w:t>
      </w:r>
    </w:p>
    <w:p w14:paraId="54B94DF6" w14:textId="022CFC95" w:rsidR="0052592B" w:rsidRPr="001B4EA4" w:rsidRDefault="00A458D4" w:rsidP="001B4EA4">
      <w:pPr>
        <w:spacing w:line="276" w:lineRule="auto"/>
        <w:ind w:firstLine="708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>Recomenda-se</w:t>
      </w:r>
      <w:r w:rsidR="00947226" w:rsidRPr="001B4EA4">
        <w:rPr>
          <w:rFonts w:ascii="Verdana" w:hAnsi="Verdana"/>
          <w:sz w:val="20"/>
          <w:szCs w:val="20"/>
          <w:lang w:val="pt-BR"/>
        </w:rPr>
        <w:t>,</w:t>
      </w:r>
      <w:r w:rsidRPr="001B4EA4">
        <w:rPr>
          <w:rFonts w:ascii="Verdana" w:hAnsi="Verdana"/>
          <w:sz w:val="20"/>
          <w:szCs w:val="20"/>
          <w:lang w:val="pt-BR"/>
        </w:rPr>
        <w:t xml:space="preserve"> p</w:t>
      </w:r>
      <w:r w:rsidR="0052592B" w:rsidRPr="001B4EA4">
        <w:rPr>
          <w:rFonts w:ascii="Verdana" w:hAnsi="Verdana"/>
          <w:sz w:val="20"/>
          <w:szCs w:val="20"/>
          <w:lang w:val="pt-BR"/>
        </w:rPr>
        <w:t>ara a preparação da governança da companhia:</w:t>
      </w:r>
    </w:p>
    <w:p w14:paraId="63F0BD04" w14:textId="087249EC" w:rsidR="0052592B" w:rsidRPr="001B4EA4" w:rsidRDefault="00947226" w:rsidP="001B4EA4">
      <w:pPr>
        <w:pStyle w:val="PargrafodaLista"/>
        <w:numPr>
          <w:ilvl w:val="0"/>
          <w:numId w:val="25"/>
        </w:numPr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 xml:space="preserve">a </w:t>
      </w:r>
      <w:r w:rsidR="0052592B" w:rsidRPr="001B4EA4">
        <w:rPr>
          <w:rFonts w:ascii="Verdana" w:hAnsi="Verdana"/>
          <w:sz w:val="20"/>
          <w:szCs w:val="20"/>
          <w:lang w:val="pt-BR"/>
        </w:rPr>
        <w:t xml:space="preserve">criação de um </w:t>
      </w:r>
      <w:r w:rsidRPr="001B4EA4">
        <w:rPr>
          <w:rFonts w:ascii="Verdana" w:hAnsi="Verdana"/>
          <w:sz w:val="20"/>
          <w:szCs w:val="20"/>
          <w:lang w:val="pt-BR"/>
        </w:rPr>
        <w:t>c</w:t>
      </w:r>
      <w:r w:rsidR="0052592B" w:rsidRPr="001B4EA4">
        <w:rPr>
          <w:rFonts w:ascii="Verdana" w:hAnsi="Verdana"/>
          <w:sz w:val="20"/>
          <w:szCs w:val="20"/>
          <w:lang w:val="pt-BR"/>
        </w:rPr>
        <w:t xml:space="preserve">onselho de </w:t>
      </w:r>
      <w:r w:rsidRPr="001B4EA4">
        <w:rPr>
          <w:rFonts w:ascii="Verdana" w:hAnsi="Verdana"/>
          <w:sz w:val="20"/>
          <w:szCs w:val="20"/>
          <w:lang w:val="pt-BR"/>
        </w:rPr>
        <w:t>a</w:t>
      </w:r>
      <w:r w:rsidR="0052592B" w:rsidRPr="001B4EA4">
        <w:rPr>
          <w:rFonts w:ascii="Verdana" w:hAnsi="Verdana"/>
          <w:sz w:val="20"/>
          <w:szCs w:val="20"/>
          <w:lang w:val="pt-BR"/>
        </w:rPr>
        <w:t>dministração, caso não exista;</w:t>
      </w:r>
    </w:p>
    <w:p w14:paraId="25903CD0" w14:textId="437A3111" w:rsidR="0052592B" w:rsidRPr="001B4EA4" w:rsidRDefault="00947226" w:rsidP="001B4EA4">
      <w:pPr>
        <w:pStyle w:val="PargrafodaLista"/>
        <w:numPr>
          <w:ilvl w:val="0"/>
          <w:numId w:val="25"/>
        </w:numPr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 xml:space="preserve">a </w:t>
      </w:r>
      <w:r w:rsidR="007B4C67" w:rsidRPr="001B4EA4">
        <w:rPr>
          <w:rFonts w:ascii="Verdana" w:hAnsi="Verdana"/>
          <w:sz w:val="20"/>
          <w:szCs w:val="20"/>
          <w:lang w:val="pt-BR"/>
        </w:rPr>
        <w:t xml:space="preserve">avaliação do comprometimento </w:t>
      </w:r>
      <w:r w:rsidR="001673C1" w:rsidRPr="001B4EA4">
        <w:rPr>
          <w:rFonts w:ascii="Verdana" w:hAnsi="Verdana"/>
          <w:sz w:val="20"/>
          <w:szCs w:val="20"/>
          <w:lang w:val="pt-BR"/>
        </w:rPr>
        <w:t xml:space="preserve">do </w:t>
      </w:r>
      <w:r w:rsidRPr="001B4EA4">
        <w:rPr>
          <w:rFonts w:ascii="Verdana" w:hAnsi="Verdana"/>
          <w:sz w:val="20"/>
          <w:szCs w:val="20"/>
          <w:lang w:val="pt-BR"/>
        </w:rPr>
        <w:t>c</w:t>
      </w:r>
      <w:r w:rsidR="001673C1" w:rsidRPr="001B4EA4">
        <w:rPr>
          <w:rFonts w:ascii="Verdana" w:hAnsi="Verdana"/>
          <w:sz w:val="20"/>
          <w:szCs w:val="20"/>
          <w:lang w:val="pt-BR"/>
        </w:rPr>
        <w:t xml:space="preserve">onselho de </w:t>
      </w:r>
      <w:r w:rsidRPr="001B4EA4">
        <w:rPr>
          <w:rFonts w:ascii="Verdana" w:hAnsi="Verdana"/>
          <w:sz w:val="20"/>
          <w:szCs w:val="20"/>
          <w:lang w:val="pt-BR"/>
        </w:rPr>
        <w:t>a</w:t>
      </w:r>
      <w:r w:rsidR="001673C1" w:rsidRPr="001B4EA4">
        <w:rPr>
          <w:rFonts w:ascii="Verdana" w:hAnsi="Verdana"/>
          <w:sz w:val="20"/>
          <w:szCs w:val="20"/>
          <w:lang w:val="pt-BR"/>
        </w:rPr>
        <w:t xml:space="preserve">dministração e da </w:t>
      </w:r>
      <w:r w:rsidRPr="001B4EA4">
        <w:rPr>
          <w:rFonts w:ascii="Verdana" w:hAnsi="Verdana"/>
          <w:sz w:val="20"/>
          <w:szCs w:val="20"/>
          <w:lang w:val="pt-BR"/>
        </w:rPr>
        <w:t>d</w:t>
      </w:r>
      <w:r w:rsidR="001673C1" w:rsidRPr="001B4EA4">
        <w:rPr>
          <w:rFonts w:ascii="Verdana" w:hAnsi="Verdana"/>
          <w:sz w:val="20"/>
          <w:szCs w:val="20"/>
          <w:lang w:val="pt-BR"/>
        </w:rPr>
        <w:t>iretoria</w:t>
      </w:r>
      <w:r w:rsidR="007B4C67" w:rsidRPr="001B4EA4">
        <w:rPr>
          <w:rFonts w:ascii="Verdana" w:hAnsi="Verdana"/>
          <w:sz w:val="20"/>
          <w:szCs w:val="20"/>
          <w:lang w:val="pt-BR"/>
        </w:rPr>
        <w:t xml:space="preserve"> com o processo de privatização</w:t>
      </w:r>
      <w:r w:rsidR="00FC36FF" w:rsidRPr="001B4EA4">
        <w:rPr>
          <w:rFonts w:ascii="Verdana" w:hAnsi="Verdana"/>
          <w:sz w:val="20"/>
          <w:szCs w:val="20"/>
          <w:lang w:val="pt-BR"/>
        </w:rPr>
        <w:t>;</w:t>
      </w:r>
      <w:r w:rsidR="007B4C67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="001673C1" w:rsidRPr="001B4EA4">
        <w:rPr>
          <w:rFonts w:ascii="Verdana" w:hAnsi="Verdana"/>
          <w:sz w:val="20"/>
          <w:szCs w:val="20"/>
          <w:lang w:val="pt-BR"/>
        </w:rPr>
        <w:t xml:space="preserve">caso seja verificado que não há envolvimento com os esforços necessários para a privatização, </w:t>
      </w:r>
      <w:r w:rsidR="007B4C67" w:rsidRPr="001B4EA4">
        <w:rPr>
          <w:rFonts w:ascii="Verdana" w:hAnsi="Verdana"/>
          <w:sz w:val="20"/>
          <w:szCs w:val="20"/>
          <w:lang w:val="pt-BR"/>
        </w:rPr>
        <w:t xml:space="preserve">eventual </w:t>
      </w:r>
      <w:r w:rsidR="0052592B" w:rsidRPr="001B4EA4">
        <w:rPr>
          <w:rFonts w:ascii="Verdana" w:hAnsi="Verdana"/>
          <w:sz w:val="20"/>
          <w:szCs w:val="20"/>
          <w:lang w:val="pt-BR"/>
        </w:rPr>
        <w:t xml:space="preserve">alteração dos membros para </w:t>
      </w:r>
      <w:r w:rsidRPr="001B4EA4">
        <w:rPr>
          <w:rFonts w:ascii="Verdana" w:hAnsi="Verdana"/>
          <w:sz w:val="20"/>
          <w:szCs w:val="20"/>
          <w:lang w:val="pt-BR"/>
        </w:rPr>
        <w:t xml:space="preserve">se </w:t>
      </w:r>
      <w:r w:rsidR="0052592B" w:rsidRPr="001B4EA4">
        <w:rPr>
          <w:rFonts w:ascii="Verdana" w:hAnsi="Verdana"/>
          <w:sz w:val="20"/>
          <w:szCs w:val="20"/>
          <w:lang w:val="pt-BR"/>
        </w:rPr>
        <w:t xml:space="preserve">indicar administradores </w:t>
      </w:r>
      <w:r w:rsidR="00FC36FF" w:rsidRPr="001B4EA4">
        <w:rPr>
          <w:rFonts w:ascii="Verdana" w:hAnsi="Verdana"/>
          <w:sz w:val="20"/>
          <w:szCs w:val="20"/>
          <w:lang w:val="pt-BR"/>
        </w:rPr>
        <w:t>engajados no</w:t>
      </w:r>
      <w:r w:rsidRPr="001B4EA4">
        <w:rPr>
          <w:rFonts w:ascii="Verdana" w:hAnsi="Verdana"/>
          <w:sz w:val="20"/>
          <w:szCs w:val="20"/>
          <w:lang w:val="pt-BR"/>
        </w:rPr>
        <w:t xml:space="preserve"> processo</w:t>
      </w:r>
      <w:r w:rsidR="0052592B" w:rsidRPr="001B4EA4">
        <w:rPr>
          <w:rFonts w:ascii="Verdana" w:hAnsi="Verdana"/>
          <w:sz w:val="20"/>
          <w:szCs w:val="20"/>
          <w:lang w:val="pt-BR"/>
        </w:rPr>
        <w:t xml:space="preserve"> e com mandato específico para </w:t>
      </w:r>
      <w:r w:rsidRPr="001B4EA4">
        <w:rPr>
          <w:rFonts w:ascii="Verdana" w:hAnsi="Verdana"/>
          <w:sz w:val="20"/>
          <w:szCs w:val="20"/>
          <w:lang w:val="pt-BR"/>
        </w:rPr>
        <w:t>preparação</w:t>
      </w:r>
      <w:r w:rsidR="0052592B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Pr="001B4EA4">
        <w:rPr>
          <w:rFonts w:ascii="Verdana" w:hAnsi="Verdana"/>
          <w:sz w:val="20"/>
          <w:szCs w:val="20"/>
          <w:lang w:val="pt-BR"/>
        </w:rPr>
        <w:t>d</w:t>
      </w:r>
      <w:r w:rsidR="0052592B" w:rsidRPr="001B4EA4">
        <w:rPr>
          <w:rFonts w:ascii="Verdana" w:hAnsi="Verdana"/>
          <w:sz w:val="20"/>
          <w:szCs w:val="20"/>
          <w:lang w:val="pt-BR"/>
        </w:rPr>
        <w:t>a companhia, com pelo menos um ano de antecedência</w:t>
      </w:r>
      <w:r w:rsidR="004B5F86" w:rsidRPr="001B4EA4">
        <w:rPr>
          <w:rFonts w:ascii="Verdana" w:hAnsi="Verdana"/>
          <w:sz w:val="20"/>
          <w:szCs w:val="20"/>
          <w:lang w:val="pt-BR"/>
        </w:rPr>
        <w:t>;</w:t>
      </w:r>
    </w:p>
    <w:p w14:paraId="6C8D0E5D" w14:textId="12347DDE" w:rsidR="0052592B" w:rsidRPr="001B4EA4" w:rsidRDefault="00FC36FF" w:rsidP="001B4EA4">
      <w:pPr>
        <w:pStyle w:val="PargrafodaLista"/>
        <w:numPr>
          <w:ilvl w:val="0"/>
          <w:numId w:val="25"/>
        </w:numPr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>implementação de</w:t>
      </w:r>
      <w:r w:rsidR="0052592B" w:rsidRPr="001B4EA4">
        <w:rPr>
          <w:rFonts w:ascii="Verdana" w:hAnsi="Verdana"/>
          <w:sz w:val="20"/>
          <w:szCs w:val="20"/>
          <w:lang w:val="pt-BR"/>
        </w:rPr>
        <w:t xml:space="preserve"> programas de </w:t>
      </w:r>
      <w:r w:rsidR="0052592B" w:rsidRPr="001B4EA4">
        <w:rPr>
          <w:rFonts w:ascii="Verdana" w:hAnsi="Verdana"/>
          <w:i/>
          <w:sz w:val="20"/>
          <w:szCs w:val="20"/>
          <w:lang w:val="pt-BR"/>
        </w:rPr>
        <w:t>compliance</w:t>
      </w:r>
      <w:r w:rsidRPr="001B4EA4">
        <w:rPr>
          <w:rFonts w:ascii="Verdana" w:hAnsi="Verdana"/>
          <w:sz w:val="20"/>
          <w:szCs w:val="20"/>
          <w:lang w:val="pt-BR"/>
        </w:rPr>
        <w:t xml:space="preserve"> (</w:t>
      </w:r>
      <w:r w:rsidR="0052592B" w:rsidRPr="001B4EA4">
        <w:rPr>
          <w:rFonts w:ascii="Verdana" w:hAnsi="Verdana"/>
          <w:sz w:val="20"/>
          <w:szCs w:val="20"/>
          <w:lang w:val="pt-BR"/>
        </w:rPr>
        <w:t xml:space="preserve">como anticorrupção, de gestão de dados e </w:t>
      </w:r>
      <w:r w:rsidRPr="001B4EA4">
        <w:rPr>
          <w:rFonts w:ascii="Verdana" w:hAnsi="Verdana"/>
          <w:sz w:val="20"/>
          <w:szCs w:val="20"/>
          <w:lang w:val="pt-BR"/>
        </w:rPr>
        <w:t xml:space="preserve">de </w:t>
      </w:r>
      <w:r w:rsidR="0052592B" w:rsidRPr="001B4EA4">
        <w:rPr>
          <w:rFonts w:ascii="Verdana" w:hAnsi="Verdana"/>
          <w:sz w:val="20"/>
          <w:szCs w:val="20"/>
          <w:lang w:val="pt-BR"/>
        </w:rPr>
        <w:t>gestão de riscos ambientais</w:t>
      </w:r>
      <w:r w:rsidRPr="001B4EA4">
        <w:rPr>
          <w:rFonts w:ascii="Verdana" w:hAnsi="Verdana"/>
          <w:sz w:val="20"/>
          <w:szCs w:val="20"/>
          <w:lang w:val="pt-BR"/>
        </w:rPr>
        <w:t xml:space="preserve">); a intenção é reduzir a possibilidade de </w:t>
      </w:r>
      <w:r w:rsidR="0052592B" w:rsidRPr="001B4EA4">
        <w:rPr>
          <w:rFonts w:ascii="Verdana" w:hAnsi="Verdana"/>
          <w:sz w:val="20"/>
          <w:szCs w:val="20"/>
          <w:lang w:val="pt-BR"/>
        </w:rPr>
        <w:t xml:space="preserve">contingências </w:t>
      </w:r>
      <w:r w:rsidRPr="001B4EA4">
        <w:rPr>
          <w:rFonts w:ascii="Verdana" w:hAnsi="Verdana"/>
          <w:sz w:val="20"/>
          <w:szCs w:val="20"/>
          <w:lang w:val="pt-BR"/>
        </w:rPr>
        <w:t>capazes de</w:t>
      </w:r>
      <w:r w:rsidR="0052592B" w:rsidRPr="001B4EA4">
        <w:rPr>
          <w:rFonts w:ascii="Verdana" w:hAnsi="Verdana"/>
          <w:sz w:val="20"/>
          <w:szCs w:val="20"/>
          <w:lang w:val="pt-BR"/>
        </w:rPr>
        <w:t xml:space="preserve"> atingir os compradores em razão de atos anteriores ao processo de privatização.</w:t>
      </w:r>
    </w:p>
    <w:p w14:paraId="78C98B25" w14:textId="2B17335A" w:rsidR="0052592B" w:rsidRPr="001B4EA4" w:rsidRDefault="0052592B" w:rsidP="001B4EA4">
      <w:pPr>
        <w:spacing w:line="276" w:lineRule="auto"/>
        <w:ind w:firstLine="708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 xml:space="preserve">Em privatizações por oferta privada de ações, recomenda-se a implementação </w:t>
      </w:r>
      <w:r w:rsidR="00C1447C" w:rsidRPr="001B4EA4">
        <w:rPr>
          <w:rFonts w:ascii="Verdana" w:hAnsi="Verdana"/>
          <w:sz w:val="20"/>
          <w:szCs w:val="20"/>
          <w:lang w:val="pt-BR"/>
        </w:rPr>
        <w:t xml:space="preserve">de </w:t>
      </w:r>
      <w:r w:rsidRPr="001B4EA4">
        <w:rPr>
          <w:rFonts w:ascii="Verdana" w:hAnsi="Verdana"/>
          <w:sz w:val="20"/>
          <w:szCs w:val="20"/>
          <w:lang w:val="pt-BR"/>
        </w:rPr>
        <w:t xml:space="preserve">um programa de transição, </w:t>
      </w:r>
      <w:r w:rsidR="00FC36FF" w:rsidRPr="001B4EA4">
        <w:rPr>
          <w:rFonts w:ascii="Verdana" w:hAnsi="Verdana"/>
          <w:sz w:val="20"/>
          <w:szCs w:val="20"/>
          <w:lang w:val="pt-BR"/>
        </w:rPr>
        <w:t>pois</w:t>
      </w:r>
      <w:r w:rsidR="007A54D2" w:rsidRPr="001B4EA4">
        <w:rPr>
          <w:rFonts w:ascii="Verdana" w:hAnsi="Verdana"/>
          <w:sz w:val="20"/>
          <w:szCs w:val="20"/>
          <w:lang w:val="pt-BR"/>
        </w:rPr>
        <w:t xml:space="preserve"> es</w:t>
      </w:r>
      <w:r w:rsidR="00FC36FF" w:rsidRPr="001B4EA4">
        <w:rPr>
          <w:rFonts w:ascii="Verdana" w:hAnsi="Verdana"/>
          <w:sz w:val="20"/>
          <w:szCs w:val="20"/>
          <w:lang w:val="pt-BR"/>
        </w:rPr>
        <w:t>s</w:t>
      </w:r>
      <w:r w:rsidR="007A54D2" w:rsidRPr="001B4EA4">
        <w:rPr>
          <w:rFonts w:ascii="Verdana" w:hAnsi="Verdana"/>
          <w:sz w:val="20"/>
          <w:szCs w:val="20"/>
          <w:lang w:val="pt-BR"/>
        </w:rPr>
        <w:t>e</w:t>
      </w:r>
      <w:r w:rsidRPr="001B4EA4">
        <w:rPr>
          <w:rFonts w:ascii="Verdana" w:hAnsi="Verdana"/>
          <w:sz w:val="20"/>
          <w:szCs w:val="20"/>
          <w:lang w:val="pt-BR"/>
        </w:rPr>
        <w:t xml:space="preserve"> modelo, </w:t>
      </w:r>
      <w:r w:rsidR="007A54D2" w:rsidRPr="001B4EA4">
        <w:rPr>
          <w:rFonts w:ascii="Verdana" w:hAnsi="Verdana"/>
          <w:sz w:val="20"/>
          <w:szCs w:val="20"/>
          <w:lang w:val="pt-BR"/>
        </w:rPr>
        <w:t xml:space="preserve">que </w:t>
      </w:r>
      <w:r w:rsidRPr="001B4EA4">
        <w:rPr>
          <w:rFonts w:ascii="Verdana" w:hAnsi="Verdana"/>
          <w:sz w:val="20"/>
          <w:szCs w:val="20"/>
          <w:lang w:val="pt-BR"/>
        </w:rPr>
        <w:t xml:space="preserve">geralmente resulta na alienação do controle societário para um novo acionista ou um grupo definido de acionistas, </w:t>
      </w:r>
      <w:r w:rsidR="007A54D2" w:rsidRPr="001B4EA4">
        <w:rPr>
          <w:rFonts w:ascii="Verdana" w:hAnsi="Verdana"/>
          <w:sz w:val="20"/>
          <w:szCs w:val="20"/>
          <w:lang w:val="pt-BR"/>
        </w:rPr>
        <w:t xml:space="preserve">pode provocar </w:t>
      </w:r>
      <w:r w:rsidRPr="001B4EA4">
        <w:rPr>
          <w:rFonts w:ascii="Verdana" w:hAnsi="Verdana"/>
          <w:sz w:val="20"/>
          <w:szCs w:val="20"/>
          <w:lang w:val="pt-BR"/>
        </w:rPr>
        <w:t>uma mudança completa da administração depois do processo de privatização.</w:t>
      </w:r>
    </w:p>
    <w:p w14:paraId="0CC65E3C" w14:textId="2F37F534" w:rsidR="0052592B" w:rsidRPr="001B4EA4" w:rsidRDefault="0052592B" w:rsidP="001B4EA4">
      <w:pPr>
        <w:spacing w:line="276" w:lineRule="auto"/>
        <w:ind w:firstLine="720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>Ademais, é aconselhável requerer que os participantes do processo de leilão sejam organizados sob a forma de sociedade anônima,</w:t>
      </w:r>
      <w:r w:rsidR="00FC36FF" w:rsidRPr="001B4EA4">
        <w:rPr>
          <w:rFonts w:ascii="Verdana" w:hAnsi="Verdana"/>
          <w:sz w:val="20"/>
          <w:szCs w:val="20"/>
          <w:lang w:val="pt-BR"/>
        </w:rPr>
        <w:t xml:space="preserve"> e não sob a forma de consórcio</w:t>
      </w:r>
      <w:r w:rsidR="00845C3A" w:rsidRPr="001B4EA4">
        <w:rPr>
          <w:rFonts w:ascii="Verdana" w:hAnsi="Verdana"/>
          <w:sz w:val="20"/>
          <w:szCs w:val="20"/>
          <w:lang w:val="pt-BR"/>
        </w:rPr>
        <w:t>, pois</w:t>
      </w:r>
      <w:r w:rsidR="00FC36FF" w:rsidRPr="001B4EA4">
        <w:rPr>
          <w:rFonts w:ascii="Verdana" w:hAnsi="Verdana"/>
          <w:sz w:val="20"/>
          <w:szCs w:val="20"/>
          <w:lang w:val="pt-BR"/>
        </w:rPr>
        <w:t xml:space="preserve"> essa segunda modalidade</w:t>
      </w:r>
      <w:r w:rsidR="003A03D3">
        <w:rPr>
          <w:rFonts w:ascii="Verdana" w:hAnsi="Verdana"/>
          <w:sz w:val="20"/>
          <w:szCs w:val="20"/>
          <w:lang w:val="pt-BR"/>
        </w:rPr>
        <w:t>, que não tem requisitos de governança,</w:t>
      </w:r>
      <w:r w:rsidRPr="001B4EA4">
        <w:rPr>
          <w:rFonts w:ascii="Verdana" w:hAnsi="Verdana"/>
          <w:sz w:val="20"/>
          <w:szCs w:val="20"/>
          <w:lang w:val="pt-BR"/>
        </w:rPr>
        <w:t xml:space="preserve"> pode </w:t>
      </w:r>
      <w:r w:rsidR="00FC36FF" w:rsidRPr="001B4EA4">
        <w:rPr>
          <w:rFonts w:ascii="Verdana" w:hAnsi="Verdana"/>
          <w:sz w:val="20"/>
          <w:szCs w:val="20"/>
          <w:lang w:val="pt-BR"/>
        </w:rPr>
        <w:t xml:space="preserve">conduzir a companhia </w:t>
      </w:r>
      <w:r w:rsidR="001531B3">
        <w:rPr>
          <w:rFonts w:ascii="Verdana" w:hAnsi="Verdana"/>
          <w:sz w:val="20"/>
          <w:szCs w:val="20"/>
          <w:lang w:val="pt-BR"/>
        </w:rPr>
        <w:t>ao loteamento de cargos e a</w:t>
      </w:r>
      <w:r w:rsidRPr="001B4EA4">
        <w:rPr>
          <w:rFonts w:ascii="Verdana" w:hAnsi="Verdana"/>
          <w:sz w:val="20"/>
          <w:szCs w:val="20"/>
          <w:lang w:val="pt-BR"/>
        </w:rPr>
        <w:t xml:space="preserve"> uma governança baseada na “divisão de tarefas” na gestão, com os membros do consórcio assumindo setores diferentes </w:t>
      </w:r>
      <w:r w:rsidR="00FC36FF" w:rsidRPr="001B4EA4">
        <w:rPr>
          <w:rFonts w:ascii="Verdana" w:hAnsi="Verdana"/>
          <w:sz w:val="20"/>
          <w:szCs w:val="20"/>
          <w:lang w:val="pt-BR"/>
        </w:rPr>
        <w:t xml:space="preserve">— o que impede a consolidação de uma governança </w:t>
      </w:r>
      <w:r w:rsidRPr="001B4EA4">
        <w:rPr>
          <w:rFonts w:ascii="Verdana" w:hAnsi="Verdana"/>
          <w:sz w:val="20"/>
          <w:szCs w:val="20"/>
          <w:lang w:val="pt-BR"/>
        </w:rPr>
        <w:t>organizada</w:t>
      </w:r>
      <w:r w:rsidR="00FC36FF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="00D931C3" w:rsidRPr="001B4EA4">
        <w:rPr>
          <w:rFonts w:ascii="Verdana" w:hAnsi="Verdana"/>
          <w:sz w:val="20"/>
          <w:szCs w:val="20"/>
          <w:lang w:val="pt-BR"/>
        </w:rPr>
        <w:t>n</w:t>
      </w:r>
      <w:r w:rsidR="00FC36FF" w:rsidRPr="001B4EA4">
        <w:rPr>
          <w:rFonts w:ascii="Verdana" w:hAnsi="Verdana"/>
          <w:sz w:val="20"/>
          <w:szCs w:val="20"/>
          <w:lang w:val="pt-BR"/>
        </w:rPr>
        <w:t xml:space="preserve">a </w:t>
      </w:r>
      <w:r w:rsidR="00D931C3" w:rsidRPr="001B4EA4">
        <w:rPr>
          <w:rFonts w:ascii="Verdana" w:hAnsi="Verdana"/>
          <w:sz w:val="20"/>
          <w:szCs w:val="20"/>
          <w:lang w:val="pt-BR"/>
        </w:rPr>
        <w:t>empresa</w:t>
      </w:r>
      <w:r w:rsidR="00FC36FF" w:rsidRPr="001B4EA4">
        <w:rPr>
          <w:rFonts w:ascii="Verdana" w:hAnsi="Verdana"/>
          <w:sz w:val="20"/>
          <w:szCs w:val="20"/>
          <w:lang w:val="pt-BR"/>
        </w:rPr>
        <w:t xml:space="preserve"> privatizada</w:t>
      </w:r>
      <w:r w:rsidRPr="001B4EA4">
        <w:rPr>
          <w:rFonts w:ascii="Verdana" w:hAnsi="Verdana"/>
          <w:sz w:val="20"/>
          <w:szCs w:val="20"/>
          <w:lang w:val="pt-BR"/>
        </w:rPr>
        <w:t>.</w:t>
      </w:r>
    </w:p>
    <w:p w14:paraId="323BF9D2" w14:textId="76552FE0" w:rsidR="0053676C" w:rsidRPr="001B4EA4" w:rsidRDefault="00A458D4" w:rsidP="001B4EA4">
      <w:pPr>
        <w:spacing w:line="276" w:lineRule="auto"/>
        <w:ind w:firstLine="720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 xml:space="preserve">De forma diversa, </w:t>
      </w:r>
      <w:r w:rsidR="007B4C67" w:rsidRPr="001B4EA4">
        <w:rPr>
          <w:rFonts w:ascii="Verdana" w:hAnsi="Verdana"/>
          <w:sz w:val="20"/>
          <w:szCs w:val="20"/>
          <w:lang w:val="pt-BR"/>
        </w:rPr>
        <w:t xml:space="preserve">na oferta pública de ações, caso seja tomada </w:t>
      </w:r>
      <w:r w:rsidR="00D931C3" w:rsidRPr="001B4EA4">
        <w:rPr>
          <w:rFonts w:ascii="Verdana" w:hAnsi="Verdana"/>
          <w:sz w:val="20"/>
          <w:szCs w:val="20"/>
          <w:lang w:val="pt-BR"/>
        </w:rPr>
        <w:t xml:space="preserve">a decisão de pulverizar ações (abrindo-se a possibilidade de não haver </w:t>
      </w:r>
      <w:r w:rsidR="007B4C67" w:rsidRPr="001B4EA4">
        <w:rPr>
          <w:rFonts w:ascii="Verdana" w:hAnsi="Verdana"/>
          <w:sz w:val="20"/>
          <w:szCs w:val="20"/>
          <w:lang w:val="pt-BR"/>
        </w:rPr>
        <w:t>controlador definido</w:t>
      </w:r>
      <w:r w:rsidR="00D931C3" w:rsidRPr="001B4EA4">
        <w:rPr>
          <w:rFonts w:ascii="Verdana" w:hAnsi="Verdana"/>
          <w:sz w:val="20"/>
          <w:szCs w:val="20"/>
          <w:lang w:val="pt-BR"/>
        </w:rPr>
        <w:t>)</w:t>
      </w:r>
      <w:r w:rsidRPr="001B4EA4">
        <w:rPr>
          <w:rFonts w:ascii="Verdana" w:hAnsi="Verdana"/>
          <w:sz w:val="20"/>
          <w:szCs w:val="20"/>
          <w:lang w:val="pt-BR"/>
        </w:rPr>
        <w:t>, o grupo de membros do conselho de administração e da diretoria deve ser formado com</w:t>
      </w:r>
      <w:r w:rsidR="003C1F7B" w:rsidRPr="001B4EA4">
        <w:rPr>
          <w:rFonts w:ascii="Verdana" w:hAnsi="Verdana"/>
          <w:sz w:val="20"/>
          <w:szCs w:val="20"/>
          <w:lang w:val="pt-BR"/>
        </w:rPr>
        <w:t xml:space="preserve"> base n</w:t>
      </w:r>
      <w:r w:rsidRPr="001B4EA4">
        <w:rPr>
          <w:rFonts w:ascii="Verdana" w:hAnsi="Verdana"/>
          <w:sz w:val="20"/>
          <w:szCs w:val="20"/>
          <w:lang w:val="pt-BR"/>
        </w:rPr>
        <w:t>a perspectiva de permanecer</w:t>
      </w:r>
      <w:r w:rsidR="003C1F7B" w:rsidRPr="001B4EA4">
        <w:rPr>
          <w:rFonts w:ascii="Verdana" w:hAnsi="Verdana"/>
          <w:sz w:val="20"/>
          <w:szCs w:val="20"/>
          <w:lang w:val="pt-BR"/>
        </w:rPr>
        <w:t>em</w:t>
      </w:r>
      <w:r w:rsidRPr="001B4EA4">
        <w:rPr>
          <w:rFonts w:ascii="Verdana" w:hAnsi="Verdana"/>
          <w:sz w:val="20"/>
          <w:szCs w:val="20"/>
          <w:lang w:val="pt-BR"/>
        </w:rPr>
        <w:t xml:space="preserve"> na administração por um período razoável após a privatização</w:t>
      </w:r>
      <w:r w:rsidR="003C1F7B" w:rsidRPr="001B4EA4">
        <w:rPr>
          <w:rFonts w:ascii="Verdana" w:hAnsi="Verdana"/>
          <w:sz w:val="20"/>
          <w:szCs w:val="20"/>
          <w:lang w:val="pt-BR"/>
        </w:rPr>
        <w:t xml:space="preserve"> — </w:t>
      </w:r>
      <w:r w:rsidRPr="001B4EA4">
        <w:rPr>
          <w:rFonts w:ascii="Verdana" w:hAnsi="Verdana"/>
          <w:sz w:val="20"/>
          <w:szCs w:val="20"/>
          <w:lang w:val="pt-BR"/>
        </w:rPr>
        <w:t xml:space="preserve">em razão </w:t>
      </w:r>
      <w:r w:rsidR="003C1F7B" w:rsidRPr="001B4EA4">
        <w:rPr>
          <w:rFonts w:ascii="Verdana" w:hAnsi="Verdana"/>
          <w:sz w:val="20"/>
          <w:szCs w:val="20"/>
          <w:lang w:val="pt-BR"/>
        </w:rPr>
        <w:t xml:space="preserve">do fato de a </w:t>
      </w:r>
      <w:r w:rsidRPr="001B4EA4">
        <w:rPr>
          <w:rFonts w:ascii="Verdana" w:hAnsi="Verdana"/>
          <w:sz w:val="20"/>
          <w:szCs w:val="20"/>
          <w:lang w:val="pt-BR"/>
        </w:rPr>
        <w:t xml:space="preserve">dinâmica de uma companhia aberta de capital disperso ser </w:t>
      </w:r>
      <w:r w:rsidR="00F53CB0" w:rsidRPr="001B4EA4">
        <w:rPr>
          <w:rFonts w:ascii="Verdana" w:hAnsi="Verdana"/>
          <w:sz w:val="20"/>
          <w:szCs w:val="20"/>
          <w:lang w:val="pt-BR"/>
        </w:rPr>
        <w:t xml:space="preserve">diferente </w:t>
      </w:r>
      <w:r w:rsidRPr="001B4EA4">
        <w:rPr>
          <w:rFonts w:ascii="Verdana" w:hAnsi="Verdana"/>
          <w:sz w:val="20"/>
          <w:szCs w:val="20"/>
          <w:lang w:val="pt-BR"/>
        </w:rPr>
        <w:t>da</w:t>
      </w:r>
      <w:r w:rsidR="003C1F7B" w:rsidRPr="001B4EA4">
        <w:rPr>
          <w:rFonts w:ascii="Verdana" w:hAnsi="Verdana"/>
          <w:sz w:val="20"/>
          <w:szCs w:val="20"/>
          <w:lang w:val="pt-BR"/>
        </w:rPr>
        <w:t xml:space="preserve">quela de </w:t>
      </w:r>
      <w:r w:rsidRPr="001B4EA4">
        <w:rPr>
          <w:rFonts w:ascii="Verdana" w:hAnsi="Verdana"/>
          <w:sz w:val="20"/>
          <w:szCs w:val="20"/>
          <w:lang w:val="pt-BR"/>
        </w:rPr>
        <w:t xml:space="preserve">uma </w:t>
      </w:r>
      <w:r w:rsidR="003C1F7B" w:rsidRPr="001B4EA4">
        <w:rPr>
          <w:rFonts w:ascii="Verdana" w:hAnsi="Verdana"/>
          <w:sz w:val="20"/>
          <w:szCs w:val="20"/>
          <w:lang w:val="pt-BR"/>
        </w:rPr>
        <w:t>empresa</w:t>
      </w:r>
      <w:r w:rsidRPr="001B4EA4">
        <w:rPr>
          <w:rFonts w:ascii="Verdana" w:hAnsi="Verdana"/>
          <w:sz w:val="20"/>
          <w:szCs w:val="20"/>
          <w:lang w:val="pt-BR"/>
        </w:rPr>
        <w:t xml:space="preserve"> fechada com grupo de controle definido.</w:t>
      </w:r>
      <w:r w:rsidR="00275ED3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="00ED632D" w:rsidRPr="001B4EA4">
        <w:rPr>
          <w:rFonts w:ascii="Verdana" w:hAnsi="Verdana"/>
          <w:sz w:val="20"/>
          <w:szCs w:val="20"/>
          <w:lang w:val="pt-BR"/>
        </w:rPr>
        <w:t>Assim, a</w:t>
      </w:r>
      <w:r w:rsidRPr="001B4EA4">
        <w:rPr>
          <w:rFonts w:ascii="Verdana" w:hAnsi="Verdana"/>
          <w:sz w:val="20"/>
          <w:szCs w:val="20"/>
          <w:lang w:val="pt-BR"/>
        </w:rPr>
        <w:t>té a realização de uma assembleia geral e a formação de um entendimento sobre a direção a ser tomada pela companhia, é necessária a liderança dos administradores.</w:t>
      </w:r>
      <w:r w:rsidR="00275ED3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="00C8529A" w:rsidRPr="001B4EA4">
        <w:rPr>
          <w:rFonts w:ascii="Verdana" w:hAnsi="Verdana"/>
          <w:sz w:val="20"/>
          <w:szCs w:val="20"/>
          <w:lang w:val="pt-BR"/>
        </w:rPr>
        <w:t>O</w:t>
      </w:r>
      <w:r w:rsidRPr="001B4EA4">
        <w:rPr>
          <w:rFonts w:ascii="Verdana" w:hAnsi="Verdana"/>
          <w:sz w:val="20"/>
          <w:szCs w:val="20"/>
          <w:lang w:val="pt-BR"/>
        </w:rPr>
        <w:t xml:space="preserve"> processo de privatização </w:t>
      </w:r>
      <w:r w:rsidR="007A54D2" w:rsidRPr="001B4EA4">
        <w:rPr>
          <w:rFonts w:ascii="Verdana" w:hAnsi="Verdana"/>
          <w:sz w:val="20"/>
          <w:szCs w:val="20"/>
          <w:lang w:val="pt-BR"/>
        </w:rPr>
        <w:t>deve</w:t>
      </w:r>
      <w:r w:rsidRPr="001B4EA4">
        <w:rPr>
          <w:rFonts w:ascii="Verdana" w:hAnsi="Verdana"/>
          <w:sz w:val="20"/>
          <w:szCs w:val="20"/>
          <w:lang w:val="pt-BR"/>
        </w:rPr>
        <w:t xml:space="preserve"> ser acompanhado de um claro plano de investimentos para os anos seguintes, e </w:t>
      </w:r>
      <w:r w:rsidR="007A54D2" w:rsidRPr="001B4EA4">
        <w:rPr>
          <w:rFonts w:ascii="Verdana" w:hAnsi="Verdana"/>
          <w:sz w:val="20"/>
          <w:szCs w:val="20"/>
          <w:lang w:val="pt-BR"/>
        </w:rPr>
        <w:t xml:space="preserve">deve </w:t>
      </w:r>
      <w:r w:rsidRPr="001B4EA4">
        <w:rPr>
          <w:rFonts w:ascii="Verdana" w:hAnsi="Verdana"/>
          <w:sz w:val="20"/>
          <w:szCs w:val="20"/>
          <w:lang w:val="pt-BR"/>
        </w:rPr>
        <w:t xml:space="preserve">contar com o comprometimento da administração em implementar </w:t>
      </w:r>
      <w:r w:rsidR="003C1F7B" w:rsidRPr="001B4EA4">
        <w:rPr>
          <w:rFonts w:ascii="Verdana" w:hAnsi="Verdana"/>
          <w:sz w:val="20"/>
          <w:szCs w:val="20"/>
          <w:lang w:val="pt-BR"/>
        </w:rPr>
        <w:t>esse</w:t>
      </w:r>
      <w:r w:rsidRPr="001B4EA4">
        <w:rPr>
          <w:rFonts w:ascii="Verdana" w:hAnsi="Verdana"/>
          <w:sz w:val="20"/>
          <w:szCs w:val="20"/>
          <w:lang w:val="pt-BR"/>
        </w:rPr>
        <w:t xml:space="preserve"> plano.</w:t>
      </w:r>
    </w:p>
    <w:p w14:paraId="54B9B9B5" w14:textId="4310701C" w:rsidR="00ED632D" w:rsidRPr="001B4EA4" w:rsidRDefault="007A54D2" w:rsidP="001B4EA4">
      <w:pPr>
        <w:spacing w:line="276" w:lineRule="auto"/>
        <w:ind w:firstLine="720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>Por fim, n</w:t>
      </w:r>
      <w:r w:rsidR="00056EFC" w:rsidRPr="001B4EA4">
        <w:rPr>
          <w:rFonts w:ascii="Verdana" w:hAnsi="Verdana"/>
          <w:sz w:val="20"/>
          <w:szCs w:val="20"/>
          <w:lang w:val="pt-BR"/>
        </w:rPr>
        <w:t xml:space="preserve">a venda de ativos, considerando que as variações de preço e aspectos </w:t>
      </w:r>
      <w:r w:rsidR="003C1F7B" w:rsidRPr="001B4EA4">
        <w:rPr>
          <w:rFonts w:ascii="Verdana" w:hAnsi="Verdana"/>
          <w:sz w:val="20"/>
          <w:szCs w:val="20"/>
          <w:lang w:val="pt-BR"/>
        </w:rPr>
        <w:t>negociais na alienação são</w:t>
      </w:r>
      <w:r w:rsidR="00056EFC" w:rsidRPr="001B4EA4">
        <w:rPr>
          <w:rFonts w:ascii="Verdana" w:hAnsi="Verdana"/>
          <w:sz w:val="20"/>
          <w:szCs w:val="20"/>
          <w:lang w:val="pt-BR"/>
        </w:rPr>
        <w:t xml:space="preserve"> muito significativ</w:t>
      </w:r>
      <w:r w:rsidR="003C1F7B" w:rsidRPr="001B4EA4">
        <w:rPr>
          <w:rFonts w:ascii="Verdana" w:hAnsi="Verdana"/>
          <w:sz w:val="20"/>
          <w:szCs w:val="20"/>
          <w:lang w:val="pt-BR"/>
        </w:rPr>
        <w:t>os</w:t>
      </w:r>
      <w:r w:rsidR="00056EFC" w:rsidRPr="001B4EA4">
        <w:rPr>
          <w:rFonts w:ascii="Verdana" w:hAnsi="Verdana"/>
          <w:sz w:val="20"/>
          <w:szCs w:val="20"/>
          <w:lang w:val="pt-BR"/>
        </w:rPr>
        <w:t xml:space="preserve">, exige-se um envolvimento substancial do </w:t>
      </w:r>
      <w:r w:rsidR="003C1F7B" w:rsidRPr="001B4EA4">
        <w:rPr>
          <w:rFonts w:ascii="Verdana" w:hAnsi="Verdana"/>
          <w:sz w:val="20"/>
          <w:szCs w:val="20"/>
          <w:lang w:val="pt-BR"/>
        </w:rPr>
        <w:t>c</w:t>
      </w:r>
      <w:r w:rsidR="00056EFC" w:rsidRPr="001B4EA4">
        <w:rPr>
          <w:rFonts w:ascii="Verdana" w:hAnsi="Verdana"/>
          <w:sz w:val="20"/>
          <w:szCs w:val="20"/>
          <w:lang w:val="pt-BR"/>
        </w:rPr>
        <w:t xml:space="preserve">onselho de </w:t>
      </w:r>
      <w:r w:rsidR="003C1F7B" w:rsidRPr="001B4EA4">
        <w:rPr>
          <w:rFonts w:ascii="Verdana" w:hAnsi="Verdana"/>
          <w:sz w:val="20"/>
          <w:szCs w:val="20"/>
          <w:lang w:val="pt-BR"/>
        </w:rPr>
        <w:t>a</w:t>
      </w:r>
      <w:r w:rsidR="00056EFC" w:rsidRPr="001B4EA4">
        <w:rPr>
          <w:rFonts w:ascii="Verdana" w:hAnsi="Verdana"/>
          <w:sz w:val="20"/>
          <w:szCs w:val="20"/>
          <w:lang w:val="pt-BR"/>
        </w:rPr>
        <w:t xml:space="preserve">dministração e da </w:t>
      </w:r>
      <w:r w:rsidR="003C1F7B" w:rsidRPr="001B4EA4">
        <w:rPr>
          <w:rFonts w:ascii="Verdana" w:hAnsi="Verdana"/>
          <w:sz w:val="20"/>
          <w:szCs w:val="20"/>
          <w:lang w:val="pt-BR"/>
        </w:rPr>
        <w:t>d</w:t>
      </w:r>
      <w:r w:rsidR="00056EFC" w:rsidRPr="001B4EA4">
        <w:rPr>
          <w:rFonts w:ascii="Verdana" w:hAnsi="Verdana"/>
          <w:sz w:val="20"/>
          <w:szCs w:val="20"/>
          <w:lang w:val="pt-BR"/>
        </w:rPr>
        <w:t>iretoria das empresas públicas ou companhias de economia mista envolvidas.</w:t>
      </w:r>
    </w:p>
    <w:p w14:paraId="4885B255" w14:textId="77777777" w:rsidR="00B77231" w:rsidRPr="001B4EA4" w:rsidRDefault="00B77231" w:rsidP="001B4EA4">
      <w:pPr>
        <w:spacing w:line="276" w:lineRule="auto"/>
        <w:ind w:firstLine="720"/>
        <w:jc w:val="both"/>
        <w:rPr>
          <w:rFonts w:ascii="Verdana" w:hAnsi="Verdana"/>
          <w:sz w:val="20"/>
          <w:szCs w:val="20"/>
          <w:lang w:val="pt-BR"/>
        </w:rPr>
      </w:pPr>
    </w:p>
    <w:p w14:paraId="7E572AE7" w14:textId="5F8F150A" w:rsidR="005D396D" w:rsidRPr="00215482" w:rsidRDefault="005D396D" w:rsidP="007135F8">
      <w:pPr>
        <w:pStyle w:val="Ttulo2"/>
        <w:numPr>
          <w:ilvl w:val="1"/>
          <w:numId w:val="13"/>
        </w:numPr>
        <w:spacing w:line="276" w:lineRule="auto"/>
        <w:contextualSpacing/>
        <w:jc w:val="both"/>
        <w:rPr>
          <w:rFonts w:ascii="Verdana" w:hAnsi="Verdana"/>
          <w:b/>
          <w:sz w:val="20"/>
          <w:szCs w:val="20"/>
          <w:lang w:val="pt-BR"/>
        </w:rPr>
      </w:pPr>
      <w:bookmarkStart w:id="29" w:name="_Toc9262643"/>
      <w:bookmarkStart w:id="30" w:name="_Toc20752236"/>
      <w:r w:rsidRPr="00215482">
        <w:rPr>
          <w:rFonts w:ascii="Verdana" w:hAnsi="Verdana"/>
          <w:b/>
          <w:sz w:val="20"/>
          <w:szCs w:val="20"/>
          <w:lang w:val="pt-BR"/>
        </w:rPr>
        <w:t>Durante</w:t>
      </w:r>
      <w:bookmarkEnd w:id="29"/>
      <w:r w:rsidR="00C81F08" w:rsidRPr="00215482">
        <w:rPr>
          <w:rFonts w:ascii="Verdana" w:hAnsi="Verdana"/>
          <w:b/>
          <w:sz w:val="20"/>
          <w:szCs w:val="20"/>
          <w:lang w:val="pt-BR"/>
        </w:rPr>
        <w:t xml:space="preserve"> a transação</w:t>
      </w:r>
      <w:bookmarkEnd w:id="30"/>
    </w:p>
    <w:p w14:paraId="73857863" w14:textId="77777777" w:rsidR="00B77231" w:rsidRPr="00215482" w:rsidRDefault="00B77231" w:rsidP="00E1329E">
      <w:pPr>
        <w:spacing w:line="276" w:lineRule="auto"/>
        <w:jc w:val="both"/>
        <w:rPr>
          <w:rFonts w:ascii="Verdana" w:hAnsi="Verdana"/>
          <w:b/>
          <w:sz w:val="20"/>
          <w:szCs w:val="20"/>
          <w:lang w:val="pt-BR"/>
        </w:rPr>
      </w:pPr>
    </w:p>
    <w:p w14:paraId="7115E609" w14:textId="54BCB2F5" w:rsidR="00A23B07" w:rsidRPr="00215482" w:rsidRDefault="001B4EA4" w:rsidP="00E1329E">
      <w:pPr>
        <w:pStyle w:val="Ttulo3"/>
        <w:spacing w:line="276" w:lineRule="auto"/>
        <w:jc w:val="both"/>
        <w:rPr>
          <w:rFonts w:ascii="Verdana" w:hAnsi="Verdana"/>
          <w:b/>
          <w:sz w:val="20"/>
          <w:szCs w:val="20"/>
          <w:lang w:val="pt-BR"/>
        </w:rPr>
      </w:pPr>
      <w:bookmarkStart w:id="31" w:name="_Toc9262645"/>
      <w:bookmarkStart w:id="32" w:name="_Toc20752237"/>
      <w:r w:rsidRPr="00215482">
        <w:rPr>
          <w:rFonts w:ascii="Verdana" w:hAnsi="Verdana"/>
          <w:b/>
          <w:sz w:val="20"/>
          <w:szCs w:val="20"/>
          <w:lang w:val="pt-BR"/>
        </w:rPr>
        <w:t xml:space="preserve">2.1 </w:t>
      </w:r>
      <w:r w:rsidR="00CA4440" w:rsidRPr="00215482">
        <w:rPr>
          <w:rFonts w:ascii="Verdana" w:hAnsi="Verdana"/>
          <w:b/>
          <w:sz w:val="20"/>
          <w:szCs w:val="20"/>
          <w:lang w:val="pt-BR"/>
        </w:rPr>
        <w:t>P</w:t>
      </w:r>
      <w:r w:rsidR="00995F63" w:rsidRPr="00215482">
        <w:rPr>
          <w:rFonts w:ascii="Verdana" w:hAnsi="Verdana"/>
          <w:b/>
          <w:sz w:val="20"/>
          <w:szCs w:val="20"/>
          <w:lang w:val="pt-BR"/>
        </w:rPr>
        <w:t>articipação do Poder Legislativo</w:t>
      </w:r>
      <w:bookmarkEnd w:id="31"/>
      <w:bookmarkEnd w:id="32"/>
      <w:r w:rsidR="00995F63" w:rsidRPr="00215482">
        <w:rPr>
          <w:rFonts w:ascii="Verdana" w:hAnsi="Verdana"/>
          <w:b/>
          <w:sz w:val="20"/>
          <w:szCs w:val="20"/>
          <w:lang w:val="pt-BR"/>
        </w:rPr>
        <w:t xml:space="preserve"> </w:t>
      </w:r>
    </w:p>
    <w:p w14:paraId="40C92247" w14:textId="77777777" w:rsidR="00B77231" w:rsidRPr="001B4EA4" w:rsidRDefault="00B77231" w:rsidP="001B4EA4">
      <w:pPr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</w:p>
    <w:p w14:paraId="3DF7B5BF" w14:textId="41930D59" w:rsidR="001415B2" w:rsidRPr="001B4EA4" w:rsidRDefault="006C74FF" w:rsidP="001B4EA4">
      <w:pPr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ab/>
      </w:r>
      <w:r w:rsidR="008F2A18" w:rsidRPr="001B4EA4">
        <w:rPr>
          <w:rFonts w:ascii="Verdana" w:hAnsi="Verdana"/>
          <w:sz w:val="20"/>
          <w:szCs w:val="20"/>
          <w:lang w:val="pt-BR"/>
        </w:rPr>
        <w:t>Durante</w:t>
      </w:r>
      <w:r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="008F2A18" w:rsidRPr="001B4EA4">
        <w:rPr>
          <w:rFonts w:ascii="Verdana" w:hAnsi="Verdana"/>
          <w:sz w:val="20"/>
          <w:szCs w:val="20"/>
          <w:lang w:val="pt-BR"/>
        </w:rPr>
        <w:t>o</w:t>
      </w:r>
      <w:r w:rsidRPr="001B4EA4">
        <w:rPr>
          <w:rFonts w:ascii="Verdana" w:hAnsi="Verdana"/>
          <w:sz w:val="20"/>
          <w:szCs w:val="20"/>
          <w:lang w:val="pt-BR"/>
        </w:rPr>
        <w:t xml:space="preserve"> processo de privatização é </w:t>
      </w:r>
      <w:r w:rsidR="007A54D2" w:rsidRPr="001B4EA4">
        <w:rPr>
          <w:rFonts w:ascii="Verdana" w:hAnsi="Verdana"/>
          <w:sz w:val="20"/>
          <w:szCs w:val="20"/>
          <w:lang w:val="pt-BR"/>
        </w:rPr>
        <w:t>essencial</w:t>
      </w:r>
      <w:r w:rsidRPr="001B4EA4">
        <w:rPr>
          <w:rFonts w:ascii="Verdana" w:hAnsi="Verdana"/>
          <w:sz w:val="20"/>
          <w:szCs w:val="20"/>
          <w:lang w:val="pt-BR"/>
        </w:rPr>
        <w:t xml:space="preserve"> o </w:t>
      </w:r>
      <w:r w:rsidR="007A54D2" w:rsidRPr="001B4EA4">
        <w:rPr>
          <w:rFonts w:ascii="Verdana" w:hAnsi="Verdana"/>
          <w:sz w:val="20"/>
          <w:szCs w:val="20"/>
          <w:lang w:val="pt-BR"/>
        </w:rPr>
        <w:t>envolvimento d</w:t>
      </w:r>
      <w:r w:rsidR="000B6AD5" w:rsidRPr="001B4EA4">
        <w:rPr>
          <w:rFonts w:ascii="Verdana" w:hAnsi="Verdana"/>
          <w:sz w:val="20"/>
          <w:szCs w:val="20"/>
          <w:lang w:val="pt-BR"/>
        </w:rPr>
        <w:t>os atores interessados</w:t>
      </w:r>
      <w:r w:rsidR="003C1F7B" w:rsidRPr="001B4EA4">
        <w:rPr>
          <w:rFonts w:ascii="Verdana" w:hAnsi="Verdana"/>
          <w:sz w:val="20"/>
          <w:szCs w:val="20"/>
          <w:lang w:val="pt-BR"/>
        </w:rPr>
        <w:t xml:space="preserve"> — </w:t>
      </w:r>
      <w:r w:rsidR="000B6AD5" w:rsidRPr="001B4EA4">
        <w:rPr>
          <w:rFonts w:ascii="Verdana" w:hAnsi="Verdana"/>
          <w:sz w:val="20"/>
          <w:szCs w:val="20"/>
          <w:lang w:val="pt-BR"/>
        </w:rPr>
        <w:t>seja</w:t>
      </w:r>
      <w:r w:rsidR="003C1F7B" w:rsidRPr="001B4EA4">
        <w:rPr>
          <w:rFonts w:ascii="Verdana" w:hAnsi="Verdana"/>
          <w:sz w:val="20"/>
          <w:szCs w:val="20"/>
          <w:lang w:val="pt-BR"/>
        </w:rPr>
        <w:t>m</w:t>
      </w:r>
      <w:r w:rsidR="000B6AD5" w:rsidRPr="001B4EA4">
        <w:rPr>
          <w:rFonts w:ascii="Verdana" w:hAnsi="Verdana"/>
          <w:sz w:val="20"/>
          <w:szCs w:val="20"/>
          <w:lang w:val="pt-BR"/>
        </w:rPr>
        <w:t xml:space="preserve"> agentes </w:t>
      </w:r>
      <w:r w:rsidRPr="001B4EA4">
        <w:rPr>
          <w:rFonts w:ascii="Verdana" w:hAnsi="Verdana"/>
          <w:sz w:val="20"/>
          <w:szCs w:val="20"/>
          <w:lang w:val="pt-BR"/>
        </w:rPr>
        <w:t xml:space="preserve">técnicos, estratégicos </w:t>
      </w:r>
      <w:r w:rsidR="000B6AD5" w:rsidRPr="001B4EA4">
        <w:rPr>
          <w:rFonts w:ascii="Verdana" w:hAnsi="Verdana"/>
          <w:sz w:val="20"/>
          <w:szCs w:val="20"/>
          <w:lang w:val="pt-BR"/>
        </w:rPr>
        <w:t>ou</w:t>
      </w:r>
      <w:r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="00D32D35" w:rsidRPr="001B4EA4">
        <w:rPr>
          <w:rFonts w:ascii="Verdana" w:hAnsi="Verdana"/>
          <w:sz w:val="20"/>
          <w:szCs w:val="20"/>
          <w:lang w:val="pt-BR"/>
        </w:rPr>
        <w:t>d</w:t>
      </w:r>
      <w:r w:rsidRPr="001B4EA4">
        <w:rPr>
          <w:rFonts w:ascii="Verdana" w:hAnsi="Verdana"/>
          <w:sz w:val="20"/>
          <w:szCs w:val="20"/>
          <w:lang w:val="pt-BR"/>
        </w:rPr>
        <w:t>a sociedade civil</w:t>
      </w:r>
      <w:r w:rsidR="003C1F7B" w:rsidRPr="001B4EA4">
        <w:rPr>
          <w:rFonts w:ascii="Verdana" w:hAnsi="Verdana"/>
          <w:sz w:val="20"/>
          <w:szCs w:val="20"/>
          <w:lang w:val="pt-BR"/>
        </w:rPr>
        <w:t xml:space="preserve"> —</w:t>
      </w:r>
      <w:r w:rsidR="000B6AD5" w:rsidRPr="001B4EA4">
        <w:rPr>
          <w:rFonts w:ascii="Verdana" w:hAnsi="Verdana"/>
          <w:sz w:val="20"/>
          <w:szCs w:val="20"/>
          <w:lang w:val="pt-BR"/>
        </w:rPr>
        <w:t>,</w:t>
      </w:r>
      <w:r w:rsidRPr="001B4EA4">
        <w:rPr>
          <w:rFonts w:ascii="Verdana" w:hAnsi="Verdana"/>
          <w:sz w:val="20"/>
          <w:szCs w:val="20"/>
          <w:lang w:val="pt-BR"/>
        </w:rPr>
        <w:t xml:space="preserve"> para </w:t>
      </w:r>
      <w:r w:rsidR="003C1F7B" w:rsidRPr="001B4EA4">
        <w:rPr>
          <w:rFonts w:ascii="Verdana" w:hAnsi="Verdana"/>
          <w:sz w:val="20"/>
          <w:szCs w:val="20"/>
          <w:lang w:val="pt-BR"/>
        </w:rPr>
        <w:t xml:space="preserve">se </w:t>
      </w:r>
      <w:r w:rsidR="008F2A18" w:rsidRPr="001B4EA4">
        <w:rPr>
          <w:rFonts w:ascii="Verdana" w:hAnsi="Verdana"/>
          <w:sz w:val="20"/>
          <w:szCs w:val="20"/>
          <w:lang w:val="pt-BR"/>
        </w:rPr>
        <w:t>legitimar a</w:t>
      </w:r>
      <w:r w:rsidRPr="001B4EA4">
        <w:rPr>
          <w:rFonts w:ascii="Verdana" w:hAnsi="Verdana"/>
          <w:sz w:val="20"/>
          <w:szCs w:val="20"/>
          <w:lang w:val="pt-BR"/>
        </w:rPr>
        <w:t xml:space="preserve"> decisão </w:t>
      </w:r>
      <w:r w:rsidR="008F2A18" w:rsidRPr="001B4EA4">
        <w:rPr>
          <w:rFonts w:ascii="Verdana" w:hAnsi="Verdana"/>
          <w:sz w:val="20"/>
          <w:szCs w:val="20"/>
          <w:lang w:val="pt-BR"/>
        </w:rPr>
        <w:t xml:space="preserve">de </w:t>
      </w:r>
      <w:r w:rsidRPr="001B4EA4">
        <w:rPr>
          <w:rFonts w:ascii="Verdana" w:hAnsi="Verdana"/>
          <w:sz w:val="20"/>
          <w:szCs w:val="20"/>
          <w:lang w:val="pt-BR"/>
        </w:rPr>
        <w:t>destinação de ativos estatais.</w:t>
      </w:r>
      <w:r w:rsidR="00275ED3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Pr="001B4EA4">
        <w:rPr>
          <w:rFonts w:ascii="Verdana" w:hAnsi="Verdana"/>
          <w:sz w:val="20"/>
          <w:szCs w:val="20"/>
          <w:lang w:val="pt-BR"/>
        </w:rPr>
        <w:t>Es</w:t>
      </w:r>
      <w:r w:rsidR="003C1F7B" w:rsidRPr="001B4EA4">
        <w:rPr>
          <w:rFonts w:ascii="Verdana" w:hAnsi="Verdana"/>
          <w:sz w:val="20"/>
          <w:szCs w:val="20"/>
          <w:lang w:val="pt-BR"/>
        </w:rPr>
        <w:t>s</w:t>
      </w:r>
      <w:r w:rsidRPr="001B4EA4">
        <w:rPr>
          <w:rFonts w:ascii="Verdana" w:hAnsi="Verdana"/>
          <w:sz w:val="20"/>
          <w:szCs w:val="20"/>
          <w:lang w:val="pt-BR"/>
        </w:rPr>
        <w:t xml:space="preserve">e </w:t>
      </w:r>
      <w:r w:rsidR="007A54D2" w:rsidRPr="001B4EA4">
        <w:rPr>
          <w:rFonts w:ascii="Verdana" w:hAnsi="Verdana"/>
          <w:sz w:val="20"/>
          <w:szCs w:val="20"/>
          <w:lang w:val="pt-BR"/>
        </w:rPr>
        <w:t>engajamento</w:t>
      </w:r>
      <w:r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="000B6AD5" w:rsidRPr="001B4EA4">
        <w:rPr>
          <w:rFonts w:ascii="Verdana" w:hAnsi="Verdana"/>
          <w:sz w:val="20"/>
          <w:szCs w:val="20"/>
          <w:lang w:val="pt-BR"/>
        </w:rPr>
        <w:t xml:space="preserve">serve </w:t>
      </w:r>
      <w:r w:rsidR="007A54D2" w:rsidRPr="001B4EA4">
        <w:rPr>
          <w:rFonts w:ascii="Verdana" w:hAnsi="Verdana"/>
          <w:sz w:val="20"/>
          <w:szCs w:val="20"/>
          <w:lang w:val="pt-BR"/>
        </w:rPr>
        <w:t xml:space="preserve">também </w:t>
      </w:r>
      <w:r w:rsidR="000B6AD5" w:rsidRPr="001B4EA4">
        <w:rPr>
          <w:rFonts w:ascii="Verdana" w:hAnsi="Verdana"/>
          <w:sz w:val="20"/>
          <w:szCs w:val="20"/>
          <w:lang w:val="pt-BR"/>
        </w:rPr>
        <w:t xml:space="preserve">para </w:t>
      </w:r>
      <w:r w:rsidR="00845C3A" w:rsidRPr="001B4EA4">
        <w:rPr>
          <w:rFonts w:ascii="Verdana" w:hAnsi="Verdana"/>
          <w:sz w:val="20"/>
          <w:szCs w:val="20"/>
          <w:lang w:val="pt-BR"/>
        </w:rPr>
        <w:t>barrar</w:t>
      </w:r>
      <w:r w:rsidRPr="001B4EA4">
        <w:rPr>
          <w:rFonts w:ascii="Verdana" w:hAnsi="Verdana"/>
          <w:sz w:val="20"/>
          <w:szCs w:val="20"/>
          <w:lang w:val="pt-BR"/>
        </w:rPr>
        <w:t xml:space="preserve"> atitudes </w:t>
      </w:r>
      <w:r w:rsidR="008F2A18" w:rsidRPr="001B4EA4">
        <w:rPr>
          <w:rFonts w:ascii="Verdana" w:hAnsi="Verdana"/>
          <w:sz w:val="20"/>
          <w:szCs w:val="20"/>
          <w:lang w:val="pt-BR"/>
        </w:rPr>
        <w:t>que se afastem dos reais objetivos do processo.</w:t>
      </w:r>
      <w:r w:rsidR="001415B2" w:rsidRPr="001B4EA4">
        <w:rPr>
          <w:rFonts w:ascii="Verdana" w:hAnsi="Verdana"/>
          <w:sz w:val="20"/>
          <w:szCs w:val="20"/>
          <w:lang w:val="pt-BR"/>
        </w:rPr>
        <w:t xml:space="preserve"> </w:t>
      </w:r>
    </w:p>
    <w:p w14:paraId="2059D565" w14:textId="4B9CC9CB" w:rsidR="001A2F7B" w:rsidRPr="001B4EA4" w:rsidRDefault="001415B2" w:rsidP="001B4EA4">
      <w:pPr>
        <w:spacing w:line="276" w:lineRule="auto"/>
        <w:ind w:firstLine="708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 xml:space="preserve">Além disso, </w:t>
      </w:r>
      <w:r w:rsidR="008F2A18" w:rsidRPr="001B4EA4">
        <w:rPr>
          <w:rFonts w:ascii="Verdana" w:hAnsi="Verdana"/>
          <w:sz w:val="20"/>
          <w:szCs w:val="20"/>
          <w:lang w:val="pt-BR"/>
        </w:rPr>
        <w:t>n</w:t>
      </w:r>
      <w:r w:rsidR="00FD64B4" w:rsidRPr="001B4EA4">
        <w:rPr>
          <w:rFonts w:ascii="Verdana" w:hAnsi="Verdana"/>
          <w:sz w:val="20"/>
          <w:szCs w:val="20"/>
          <w:lang w:val="pt-BR"/>
        </w:rPr>
        <w:t>a relação e</w:t>
      </w:r>
      <w:r w:rsidR="003C1F7B" w:rsidRPr="001B4EA4">
        <w:rPr>
          <w:rFonts w:ascii="Verdana" w:hAnsi="Verdana"/>
          <w:sz w:val="20"/>
          <w:szCs w:val="20"/>
          <w:lang w:val="pt-BR"/>
        </w:rPr>
        <w:t xml:space="preserve">ntre os poderes Legislativo e </w:t>
      </w:r>
      <w:r w:rsidR="00FD64B4" w:rsidRPr="001B4EA4">
        <w:rPr>
          <w:rFonts w:ascii="Verdana" w:hAnsi="Verdana"/>
          <w:sz w:val="20"/>
          <w:szCs w:val="20"/>
          <w:lang w:val="pt-BR"/>
        </w:rPr>
        <w:t xml:space="preserve">Executivo manifesta-se a importante função de controle e fiscalização do primeiro sobre o segundo. </w:t>
      </w:r>
      <w:r w:rsidR="00AD759F" w:rsidRPr="001B4EA4">
        <w:rPr>
          <w:rFonts w:ascii="Verdana" w:hAnsi="Verdana"/>
          <w:sz w:val="20"/>
          <w:szCs w:val="20"/>
          <w:lang w:val="pt-BR"/>
        </w:rPr>
        <w:t>No caso das privatizações, es</w:t>
      </w:r>
      <w:r w:rsidR="003C1F7B" w:rsidRPr="001B4EA4">
        <w:rPr>
          <w:rFonts w:ascii="Verdana" w:hAnsi="Verdana"/>
          <w:sz w:val="20"/>
          <w:szCs w:val="20"/>
          <w:lang w:val="pt-BR"/>
        </w:rPr>
        <w:t>s</w:t>
      </w:r>
      <w:r w:rsidR="00AD759F" w:rsidRPr="001B4EA4">
        <w:rPr>
          <w:rFonts w:ascii="Verdana" w:hAnsi="Verdana"/>
          <w:sz w:val="20"/>
          <w:szCs w:val="20"/>
          <w:lang w:val="pt-BR"/>
        </w:rPr>
        <w:t xml:space="preserve">a </w:t>
      </w:r>
      <w:r w:rsidR="003C1F7B" w:rsidRPr="001B4EA4">
        <w:rPr>
          <w:rFonts w:ascii="Verdana" w:hAnsi="Verdana"/>
          <w:sz w:val="20"/>
          <w:szCs w:val="20"/>
          <w:lang w:val="pt-BR"/>
        </w:rPr>
        <w:t>prerrogativa</w:t>
      </w:r>
      <w:r w:rsidR="00AD759F" w:rsidRPr="001B4EA4">
        <w:rPr>
          <w:rFonts w:ascii="Verdana" w:hAnsi="Verdana"/>
          <w:sz w:val="20"/>
          <w:szCs w:val="20"/>
          <w:lang w:val="pt-BR"/>
        </w:rPr>
        <w:t xml:space="preserve"> pode ser exercida por meio das </w:t>
      </w:r>
      <w:r w:rsidR="00FD64B4" w:rsidRPr="001B4EA4">
        <w:rPr>
          <w:rFonts w:ascii="Verdana" w:hAnsi="Verdana"/>
          <w:sz w:val="20"/>
          <w:szCs w:val="20"/>
          <w:lang w:val="pt-BR"/>
        </w:rPr>
        <w:t>comissões parlamentares</w:t>
      </w:r>
      <w:r w:rsidR="00AD759F" w:rsidRPr="001B4EA4">
        <w:rPr>
          <w:rFonts w:ascii="Verdana" w:hAnsi="Verdana"/>
          <w:sz w:val="20"/>
          <w:szCs w:val="20"/>
          <w:lang w:val="pt-BR"/>
        </w:rPr>
        <w:t>, que</w:t>
      </w:r>
      <w:r w:rsidR="00FD64B4" w:rsidRPr="001B4EA4">
        <w:rPr>
          <w:rFonts w:ascii="Verdana" w:hAnsi="Verdana"/>
          <w:sz w:val="20"/>
          <w:szCs w:val="20"/>
          <w:lang w:val="pt-BR"/>
        </w:rPr>
        <w:t xml:space="preserve"> têm o </w:t>
      </w:r>
      <w:r w:rsidR="00F405BD" w:rsidRPr="001B4EA4">
        <w:rPr>
          <w:rFonts w:ascii="Verdana" w:hAnsi="Verdana"/>
          <w:sz w:val="20"/>
          <w:szCs w:val="20"/>
          <w:lang w:val="pt-BR"/>
        </w:rPr>
        <w:t xml:space="preserve">relevante </w:t>
      </w:r>
      <w:r w:rsidR="00FD64B4" w:rsidRPr="001B4EA4">
        <w:rPr>
          <w:rFonts w:ascii="Verdana" w:hAnsi="Verdana"/>
          <w:sz w:val="20"/>
          <w:szCs w:val="20"/>
          <w:lang w:val="pt-BR"/>
        </w:rPr>
        <w:t xml:space="preserve">papel de instrução prévia, contribuindo para </w:t>
      </w:r>
      <w:r w:rsidR="00B54846" w:rsidRPr="001B4EA4">
        <w:rPr>
          <w:rFonts w:ascii="Verdana" w:hAnsi="Verdana"/>
          <w:sz w:val="20"/>
          <w:szCs w:val="20"/>
          <w:lang w:val="pt-BR"/>
        </w:rPr>
        <w:t xml:space="preserve">a </w:t>
      </w:r>
      <w:r w:rsidR="00FD64B4" w:rsidRPr="001B4EA4">
        <w:rPr>
          <w:rFonts w:ascii="Verdana" w:hAnsi="Verdana"/>
          <w:sz w:val="20"/>
          <w:szCs w:val="20"/>
          <w:lang w:val="pt-BR"/>
        </w:rPr>
        <w:t xml:space="preserve">transparência informacional e </w:t>
      </w:r>
      <w:r w:rsidR="00B54846" w:rsidRPr="001B4EA4">
        <w:rPr>
          <w:rFonts w:ascii="Verdana" w:hAnsi="Verdana"/>
          <w:sz w:val="20"/>
          <w:szCs w:val="20"/>
          <w:lang w:val="pt-BR"/>
        </w:rPr>
        <w:t xml:space="preserve">a </w:t>
      </w:r>
      <w:r w:rsidR="00FD64B4" w:rsidRPr="001B4EA4">
        <w:rPr>
          <w:rFonts w:ascii="Verdana" w:hAnsi="Verdana"/>
          <w:sz w:val="20"/>
          <w:szCs w:val="20"/>
          <w:lang w:val="pt-BR"/>
        </w:rPr>
        <w:t>consequente redução de incertezas jurídicas e políticas.</w:t>
      </w:r>
    </w:p>
    <w:p w14:paraId="315C47F4" w14:textId="21964BA4" w:rsidR="00FD64B4" w:rsidRPr="001B4EA4" w:rsidRDefault="00A0139D" w:rsidP="001B4EA4">
      <w:pPr>
        <w:spacing w:line="276" w:lineRule="auto"/>
        <w:ind w:firstLine="708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>As comissões permitem, além da especialização técnica, o contato com os destinatários reais das medidas discutidas, sendo uma forma de democracia direta, informação política, aperfeiçoamento e justificação da elaboração das propostas.</w:t>
      </w:r>
    </w:p>
    <w:p w14:paraId="2C4132BE" w14:textId="77777777" w:rsidR="00B77231" w:rsidRPr="00E1329E" w:rsidRDefault="00B77231" w:rsidP="00E1329E">
      <w:pPr>
        <w:pStyle w:val="SemEspaamento"/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</w:p>
    <w:tbl>
      <w:tblPr>
        <w:tblStyle w:val="TabeladeLista3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995CF3" w:rsidRPr="001B4EA4" w14:paraId="16DA0332" w14:textId="77777777" w:rsidTr="00B772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9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vAlign w:val="center"/>
          </w:tcPr>
          <w:p w14:paraId="4DB0E8A6" w14:textId="77777777" w:rsidR="00995CF3" w:rsidRPr="001B4EA4" w:rsidRDefault="00995CF3" w:rsidP="00E1329E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pt-BR"/>
              </w:rPr>
            </w:pPr>
            <w:r w:rsidRPr="001B4EA4">
              <w:rPr>
                <w:rFonts w:ascii="Verdana" w:hAnsi="Verdana"/>
                <w:sz w:val="20"/>
                <w:szCs w:val="20"/>
                <w:lang w:val="pt-BR"/>
              </w:rPr>
              <w:t>Recomendação</w:t>
            </w:r>
          </w:p>
        </w:tc>
      </w:tr>
      <w:tr w:rsidR="00995CF3" w:rsidRPr="006F538F" w14:paraId="150A5766" w14:textId="77777777" w:rsidTr="002154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000000"/>
            </w:tcBorders>
            <w:vAlign w:val="center"/>
          </w:tcPr>
          <w:p w14:paraId="44B9554D" w14:textId="6AFF1FCC" w:rsidR="00995CF3" w:rsidRPr="00157AE3" w:rsidRDefault="00995CF3" w:rsidP="001B4EA4">
            <w:pPr>
              <w:spacing w:line="276" w:lineRule="auto"/>
              <w:jc w:val="both"/>
              <w:rPr>
                <w:rFonts w:ascii="Verdana" w:hAnsi="Verdana"/>
                <w:b w:val="0"/>
                <w:sz w:val="20"/>
                <w:szCs w:val="20"/>
                <w:lang w:val="pt-BR"/>
              </w:rPr>
            </w:pPr>
            <w:r w:rsidRPr="00157AE3">
              <w:rPr>
                <w:rFonts w:ascii="Verdana" w:hAnsi="Verdana"/>
                <w:b w:val="0"/>
                <w:sz w:val="20"/>
                <w:szCs w:val="20"/>
                <w:lang w:val="pt-BR"/>
              </w:rPr>
              <w:t>Diante da importância e recorrência da pauta institucional das privatizações, sugere-se instauração de uma comissão parlamentar</w:t>
            </w:r>
            <w:r w:rsidR="007B4C67" w:rsidRPr="00157AE3">
              <w:rPr>
                <w:rFonts w:ascii="Verdana" w:hAnsi="Verdana"/>
                <w:b w:val="0"/>
                <w:sz w:val="20"/>
                <w:szCs w:val="20"/>
                <w:lang w:val="pt-BR"/>
              </w:rPr>
              <w:t xml:space="preserve"> </w:t>
            </w:r>
            <w:r w:rsidRPr="00157AE3">
              <w:rPr>
                <w:rFonts w:ascii="Verdana" w:hAnsi="Verdana"/>
                <w:b w:val="0"/>
                <w:sz w:val="20"/>
                <w:szCs w:val="20"/>
                <w:lang w:val="pt-BR"/>
              </w:rPr>
              <w:t>permanente</w:t>
            </w:r>
            <w:r w:rsidR="007B4C67" w:rsidRPr="00157AE3">
              <w:rPr>
                <w:rFonts w:ascii="Verdana" w:hAnsi="Verdana"/>
                <w:b w:val="0"/>
                <w:sz w:val="20"/>
                <w:szCs w:val="20"/>
                <w:lang w:val="pt-BR"/>
              </w:rPr>
              <w:t xml:space="preserve"> mista do Congresso Nacional </w:t>
            </w:r>
            <w:r w:rsidRPr="00157AE3">
              <w:rPr>
                <w:rFonts w:ascii="Verdana" w:hAnsi="Verdana"/>
                <w:b w:val="0"/>
                <w:sz w:val="20"/>
                <w:szCs w:val="20"/>
                <w:lang w:val="pt-BR"/>
              </w:rPr>
              <w:t>com função fiscalizatória</w:t>
            </w:r>
            <w:r w:rsidR="00B54846" w:rsidRPr="00157AE3">
              <w:rPr>
                <w:rFonts w:ascii="Verdana" w:hAnsi="Verdana"/>
                <w:b w:val="0"/>
                <w:sz w:val="20"/>
                <w:szCs w:val="20"/>
                <w:lang w:val="pt-BR"/>
              </w:rPr>
              <w:t>,</w:t>
            </w:r>
            <w:r w:rsidRPr="00157AE3">
              <w:rPr>
                <w:rFonts w:ascii="Verdana" w:hAnsi="Verdana"/>
                <w:b w:val="0"/>
                <w:sz w:val="20"/>
                <w:szCs w:val="20"/>
                <w:lang w:val="pt-BR"/>
              </w:rPr>
              <w:t xml:space="preserve"> orientada a viabilizar a participação dos p</w:t>
            </w:r>
            <w:r w:rsidR="00B54846" w:rsidRPr="00157AE3">
              <w:rPr>
                <w:rFonts w:ascii="Verdana" w:hAnsi="Verdana"/>
                <w:b w:val="0"/>
                <w:sz w:val="20"/>
                <w:szCs w:val="20"/>
                <w:lang w:val="pt-BR"/>
              </w:rPr>
              <w:t>rincipais atores desse processo e</w:t>
            </w:r>
            <w:r w:rsidRPr="00157AE3">
              <w:rPr>
                <w:rFonts w:ascii="Verdana" w:hAnsi="Verdana"/>
                <w:b w:val="0"/>
                <w:sz w:val="20"/>
                <w:szCs w:val="20"/>
                <w:lang w:val="pt-BR"/>
              </w:rPr>
              <w:t xml:space="preserve"> com vistas a emitir </w:t>
            </w:r>
            <w:r w:rsidR="00B54846" w:rsidRPr="00157AE3">
              <w:rPr>
                <w:rFonts w:ascii="Verdana" w:hAnsi="Verdana"/>
                <w:b w:val="0"/>
                <w:sz w:val="20"/>
                <w:szCs w:val="20"/>
                <w:lang w:val="pt-BR"/>
              </w:rPr>
              <w:t>relatórios de avaliação técnica dotados de</w:t>
            </w:r>
            <w:r w:rsidRPr="00157AE3">
              <w:rPr>
                <w:rFonts w:ascii="Verdana" w:hAnsi="Verdana"/>
                <w:b w:val="0"/>
                <w:sz w:val="20"/>
                <w:szCs w:val="20"/>
                <w:lang w:val="pt-BR"/>
              </w:rPr>
              <w:t xml:space="preserve"> análise dos requisitos formais e d</w:t>
            </w:r>
            <w:r w:rsidR="00B54846" w:rsidRPr="00157AE3">
              <w:rPr>
                <w:rFonts w:ascii="Verdana" w:hAnsi="Verdana"/>
                <w:b w:val="0"/>
                <w:sz w:val="20"/>
                <w:szCs w:val="20"/>
                <w:lang w:val="pt-BR"/>
              </w:rPr>
              <w:t>o</w:t>
            </w:r>
            <w:r w:rsidRPr="00157AE3">
              <w:rPr>
                <w:rFonts w:ascii="Verdana" w:hAnsi="Verdana"/>
                <w:b w:val="0"/>
                <w:sz w:val="20"/>
                <w:szCs w:val="20"/>
                <w:lang w:val="pt-BR"/>
              </w:rPr>
              <w:t xml:space="preserve"> mérito das propostas de privatização.</w:t>
            </w:r>
          </w:p>
        </w:tc>
      </w:tr>
      <w:tr w:rsidR="00995CF3" w:rsidRPr="006F538F" w14:paraId="2B18B913" w14:textId="77777777" w:rsidTr="00051DB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000000" w:themeFill="text1"/>
          </w:tcPr>
          <w:p w14:paraId="48C79129" w14:textId="77777777" w:rsidR="00995CF3" w:rsidRPr="001B4EA4" w:rsidRDefault="00995CF3" w:rsidP="00E1329E">
            <w:pPr>
              <w:spacing w:line="276" w:lineRule="auto"/>
              <w:jc w:val="both"/>
              <w:rPr>
                <w:rFonts w:ascii="Verdana" w:hAnsi="Verdana"/>
                <w:b w:val="0"/>
                <w:sz w:val="20"/>
                <w:szCs w:val="20"/>
                <w:lang w:val="pt-BR"/>
              </w:rPr>
            </w:pPr>
          </w:p>
        </w:tc>
      </w:tr>
    </w:tbl>
    <w:p w14:paraId="5C446FE6" w14:textId="77777777" w:rsidR="00B77231" w:rsidRPr="001B4EA4" w:rsidRDefault="00B77231" w:rsidP="001B4EA4">
      <w:pPr>
        <w:spacing w:before="160" w:line="276" w:lineRule="auto"/>
        <w:ind w:firstLine="709"/>
        <w:jc w:val="both"/>
        <w:rPr>
          <w:rFonts w:ascii="Verdana" w:hAnsi="Verdana"/>
          <w:i/>
          <w:sz w:val="20"/>
          <w:szCs w:val="20"/>
          <w:lang w:val="pt-BR"/>
        </w:rPr>
      </w:pPr>
    </w:p>
    <w:p w14:paraId="5623DB7C" w14:textId="05B05C00" w:rsidR="00FE59EB" w:rsidRPr="001B4EA4" w:rsidRDefault="00FE59EB" w:rsidP="001B4EA4">
      <w:pPr>
        <w:spacing w:before="160" w:line="276" w:lineRule="auto"/>
        <w:ind w:firstLine="709"/>
        <w:jc w:val="both"/>
        <w:rPr>
          <w:rFonts w:ascii="Verdana" w:hAnsi="Verdana"/>
          <w:i/>
          <w:sz w:val="20"/>
          <w:szCs w:val="20"/>
          <w:lang w:val="pt-BR"/>
        </w:rPr>
      </w:pPr>
      <w:r w:rsidRPr="001B4EA4">
        <w:rPr>
          <w:rFonts w:ascii="Verdana" w:hAnsi="Verdana"/>
          <w:i/>
          <w:sz w:val="20"/>
          <w:szCs w:val="20"/>
          <w:lang w:val="pt-BR"/>
        </w:rPr>
        <w:t>Aplicação</w:t>
      </w:r>
    </w:p>
    <w:p w14:paraId="57D29458" w14:textId="091A6975" w:rsidR="00E36661" w:rsidRPr="001B4EA4" w:rsidRDefault="00FF5FAD" w:rsidP="001B4EA4">
      <w:pPr>
        <w:spacing w:line="276" w:lineRule="auto"/>
        <w:ind w:firstLine="708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>Em conformidade com prática já consolidada no Congresso Nacional, propõe-se que o</w:t>
      </w:r>
      <w:r w:rsidR="000133FF" w:rsidRPr="001B4EA4">
        <w:rPr>
          <w:rFonts w:ascii="Verdana" w:hAnsi="Verdana"/>
          <w:sz w:val="20"/>
          <w:szCs w:val="20"/>
          <w:lang w:val="pt-BR"/>
        </w:rPr>
        <w:t>s</w:t>
      </w:r>
      <w:r w:rsidRPr="001B4EA4">
        <w:rPr>
          <w:rFonts w:ascii="Verdana" w:hAnsi="Verdana"/>
          <w:sz w:val="20"/>
          <w:szCs w:val="20"/>
          <w:lang w:val="pt-BR"/>
        </w:rPr>
        <w:t xml:space="preserve"> objetivo</w:t>
      </w:r>
      <w:r w:rsidR="000133FF" w:rsidRPr="001B4EA4">
        <w:rPr>
          <w:rFonts w:ascii="Verdana" w:hAnsi="Verdana"/>
          <w:sz w:val="20"/>
          <w:szCs w:val="20"/>
          <w:lang w:val="pt-BR"/>
        </w:rPr>
        <w:t>s</w:t>
      </w:r>
      <w:r w:rsidRPr="001B4EA4">
        <w:rPr>
          <w:rFonts w:ascii="Verdana" w:hAnsi="Verdana"/>
          <w:sz w:val="20"/>
          <w:szCs w:val="20"/>
          <w:lang w:val="pt-BR"/>
        </w:rPr>
        <w:t xml:space="preserve"> da comissão seja</w:t>
      </w:r>
      <w:r w:rsidR="000133FF" w:rsidRPr="001B4EA4">
        <w:rPr>
          <w:rFonts w:ascii="Verdana" w:hAnsi="Verdana"/>
          <w:sz w:val="20"/>
          <w:szCs w:val="20"/>
          <w:lang w:val="pt-BR"/>
        </w:rPr>
        <w:t>m</w:t>
      </w:r>
      <w:r w:rsidRPr="001B4EA4">
        <w:rPr>
          <w:rFonts w:ascii="Verdana" w:hAnsi="Verdana"/>
          <w:sz w:val="20"/>
          <w:szCs w:val="20"/>
          <w:lang w:val="pt-BR"/>
        </w:rPr>
        <w:t xml:space="preserve"> a fiscalização e o controle das atividades de privatização</w:t>
      </w:r>
      <w:r w:rsidR="000133FF" w:rsidRPr="001B4EA4">
        <w:rPr>
          <w:rFonts w:ascii="Verdana" w:hAnsi="Verdana"/>
          <w:sz w:val="20"/>
          <w:szCs w:val="20"/>
          <w:lang w:val="pt-BR"/>
        </w:rPr>
        <w:t>,</w:t>
      </w:r>
      <w:r w:rsidR="00D428D3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Pr="001B4EA4">
        <w:rPr>
          <w:rFonts w:ascii="Verdana" w:hAnsi="Verdana"/>
          <w:sz w:val="20"/>
          <w:szCs w:val="20"/>
          <w:lang w:val="pt-BR"/>
        </w:rPr>
        <w:t xml:space="preserve">a fim de </w:t>
      </w:r>
      <w:r w:rsidR="000133FF" w:rsidRPr="001B4EA4">
        <w:rPr>
          <w:rFonts w:ascii="Verdana" w:hAnsi="Verdana"/>
          <w:sz w:val="20"/>
          <w:szCs w:val="20"/>
          <w:lang w:val="pt-BR"/>
        </w:rPr>
        <w:t xml:space="preserve">se </w:t>
      </w:r>
      <w:r w:rsidRPr="001B4EA4">
        <w:rPr>
          <w:rFonts w:ascii="Verdana" w:hAnsi="Verdana"/>
          <w:sz w:val="20"/>
          <w:szCs w:val="20"/>
          <w:lang w:val="pt-BR"/>
        </w:rPr>
        <w:t>chancelar o interesse público no processo.</w:t>
      </w:r>
    </w:p>
    <w:p w14:paraId="0BF326DC" w14:textId="77CEE921" w:rsidR="009A1578" w:rsidRPr="001B4EA4" w:rsidRDefault="009A1578" w:rsidP="001B4EA4">
      <w:pPr>
        <w:spacing w:line="276" w:lineRule="auto"/>
        <w:ind w:firstLine="708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>Os parlamentares que pertencem às comissões emitem pareceres amparados em estudos técnicos especializados, investigando as premissas das propostas encaminhadas e contribuindo para que seus pares tenham mais condições de avaliar criticamente os processos.</w:t>
      </w:r>
    </w:p>
    <w:p w14:paraId="0A267E0C" w14:textId="135AF330" w:rsidR="007064D1" w:rsidRPr="001B4EA4" w:rsidRDefault="001A2F7B" w:rsidP="001B4EA4">
      <w:pPr>
        <w:spacing w:line="276" w:lineRule="auto"/>
        <w:ind w:firstLine="708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>Por meio de audiências públicas, da convocação do Poder Executivo para prestação de esclarecimentos, do recebimento de petições, reclamações, representações e depoimentos, possibilita-se o engajamento dos principais envolvidos, legitimando</w:t>
      </w:r>
      <w:r w:rsidR="000133FF" w:rsidRPr="001B4EA4">
        <w:rPr>
          <w:rFonts w:ascii="Verdana" w:hAnsi="Verdana"/>
          <w:sz w:val="20"/>
          <w:szCs w:val="20"/>
          <w:lang w:val="pt-BR"/>
        </w:rPr>
        <w:t>-se</w:t>
      </w:r>
      <w:r w:rsidRPr="001B4EA4">
        <w:rPr>
          <w:rFonts w:ascii="Verdana" w:hAnsi="Verdana"/>
          <w:sz w:val="20"/>
          <w:szCs w:val="20"/>
          <w:lang w:val="pt-BR"/>
        </w:rPr>
        <w:t xml:space="preserve"> os debates e reduzindo</w:t>
      </w:r>
      <w:r w:rsidR="000133FF" w:rsidRPr="001B4EA4">
        <w:rPr>
          <w:rFonts w:ascii="Verdana" w:hAnsi="Verdana"/>
          <w:sz w:val="20"/>
          <w:szCs w:val="20"/>
          <w:lang w:val="pt-BR"/>
        </w:rPr>
        <w:t>-se</w:t>
      </w:r>
      <w:r w:rsidRPr="001B4EA4">
        <w:rPr>
          <w:rFonts w:ascii="Verdana" w:hAnsi="Verdana"/>
          <w:sz w:val="20"/>
          <w:szCs w:val="20"/>
          <w:lang w:val="pt-BR"/>
        </w:rPr>
        <w:t xml:space="preserve"> a tendência de judicialização de temas polêmicos.</w:t>
      </w:r>
      <w:r w:rsidR="00995F63" w:rsidRPr="001B4EA4">
        <w:rPr>
          <w:rFonts w:ascii="Verdana" w:hAnsi="Verdana"/>
          <w:sz w:val="20"/>
          <w:szCs w:val="20"/>
          <w:lang w:val="pt-BR"/>
        </w:rPr>
        <w:t xml:space="preserve"> </w:t>
      </w:r>
    </w:p>
    <w:p w14:paraId="21B03DA8" w14:textId="0DB71D13" w:rsidR="00804384" w:rsidRPr="008F7C00" w:rsidRDefault="00A54B83" w:rsidP="00804384">
      <w:pPr>
        <w:spacing w:line="276" w:lineRule="auto"/>
        <w:ind w:firstLine="708"/>
        <w:jc w:val="both"/>
        <w:rPr>
          <w:rFonts w:ascii="Verdana" w:hAnsi="Verdana"/>
          <w:sz w:val="20"/>
          <w:szCs w:val="20"/>
          <w:lang w:val="pt-BR"/>
        </w:rPr>
      </w:pPr>
      <w:r>
        <w:rPr>
          <w:rFonts w:ascii="Verdana" w:hAnsi="Verdana"/>
          <w:sz w:val="20"/>
          <w:szCs w:val="20"/>
          <w:lang w:val="pt-BR"/>
        </w:rPr>
        <w:t>O</w:t>
      </w:r>
      <w:r w:rsidR="00804384" w:rsidRPr="008F7C00">
        <w:rPr>
          <w:rFonts w:ascii="Verdana" w:hAnsi="Verdana"/>
          <w:sz w:val="20"/>
          <w:szCs w:val="20"/>
          <w:lang w:val="pt-BR"/>
        </w:rPr>
        <w:t xml:space="preserve"> envolvimento de órgãos de fiscalização e controle é essencial para </w:t>
      </w:r>
      <w:r w:rsidR="00B839C3">
        <w:rPr>
          <w:rFonts w:ascii="Verdana" w:hAnsi="Verdana"/>
          <w:sz w:val="20"/>
          <w:szCs w:val="20"/>
          <w:lang w:val="pt-BR"/>
        </w:rPr>
        <w:t>apurar</w:t>
      </w:r>
      <w:r w:rsidR="00BD6F7A">
        <w:rPr>
          <w:rFonts w:ascii="Verdana" w:hAnsi="Verdana"/>
          <w:sz w:val="20"/>
          <w:szCs w:val="20"/>
          <w:lang w:val="pt-BR"/>
        </w:rPr>
        <w:t xml:space="preserve"> e coibir</w:t>
      </w:r>
      <w:r w:rsidR="00B839C3">
        <w:rPr>
          <w:rFonts w:ascii="Verdana" w:hAnsi="Verdana"/>
          <w:sz w:val="20"/>
          <w:szCs w:val="20"/>
          <w:lang w:val="pt-BR"/>
        </w:rPr>
        <w:t xml:space="preserve"> eventuais irregularidades e abusos</w:t>
      </w:r>
      <w:r w:rsidR="00BD6F7A">
        <w:rPr>
          <w:rFonts w:ascii="Verdana" w:hAnsi="Verdana"/>
          <w:sz w:val="20"/>
          <w:szCs w:val="20"/>
          <w:lang w:val="pt-BR"/>
        </w:rPr>
        <w:t>,</w:t>
      </w:r>
      <w:r w:rsidR="00B839C3">
        <w:rPr>
          <w:rFonts w:ascii="Verdana" w:hAnsi="Verdana"/>
          <w:sz w:val="20"/>
          <w:szCs w:val="20"/>
          <w:lang w:val="pt-BR"/>
        </w:rPr>
        <w:t xml:space="preserve"> </w:t>
      </w:r>
      <w:r w:rsidR="00BD6F7A">
        <w:rPr>
          <w:rFonts w:ascii="Verdana" w:hAnsi="Verdana"/>
          <w:sz w:val="20"/>
          <w:szCs w:val="20"/>
          <w:lang w:val="pt-BR"/>
        </w:rPr>
        <w:t>defender</w:t>
      </w:r>
      <w:r w:rsidR="00847692">
        <w:rPr>
          <w:rFonts w:ascii="Verdana" w:hAnsi="Verdana"/>
          <w:sz w:val="20"/>
          <w:szCs w:val="20"/>
          <w:lang w:val="pt-BR"/>
        </w:rPr>
        <w:t xml:space="preserve"> a integridade </w:t>
      </w:r>
      <w:r w:rsidR="00B839C3">
        <w:rPr>
          <w:rFonts w:ascii="Verdana" w:hAnsi="Verdana"/>
          <w:sz w:val="20"/>
          <w:szCs w:val="20"/>
          <w:lang w:val="pt-BR"/>
        </w:rPr>
        <w:t xml:space="preserve">e legalidade </w:t>
      </w:r>
      <w:r w:rsidR="00847692">
        <w:rPr>
          <w:rFonts w:ascii="Verdana" w:hAnsi="Verdana"/>
          <w:sz w:val="20"/>
          <w:szCs w:val="20"/>
          <w:lang w:val="pt-BR"/>
        </w:rPr>
        <w:t xml:space="preserve">do processo </w:t>
      </w:r>
      <w:r w:rsidR="00766539">
        <w:rPr>
          <w:rFonts w:ascii="Verdana" w:hAnsi="Verdana"/>
          <w:sz w:val="20"/>
          <w:szCs w:val="20"/>
          <w:lang w:val="pt-BR"/>
        </w:rPr>
        <w:t>de privatização</w:t>
      </w:r>
      <w:r w:rsidR="00B839C3">
        <w:rPr>
          <w:rFonts w:ascii="Verdana" w:hAnsi="Verdana"/>
          <w:sz w:val="20"/>
          <w:szCs w:val="20"/>
          <w:lang w:val="pt-BR"/>
        </w:rPr>
        <w:t xml:space="preserve"> e </w:t>
      </w:r>
      <w:r w:rsidR="00BD6F7A">
        <w:rPr>
          <w:rFonts w:ascii="Verdana" w:hAnsi="Verdana"/>
          <w:sz w:val="20"/>
          <w:szCs w:val="20"/>
          <w:lang w:val="pt-BR"/>
        </w:rPr>
        <w:t xml:space="preserve">proteger </w:t>
      </w:r>
      <w:r w:rsidR="00BD4F88">
        <w:rPr>
          <w:rFonts w:ascii="Verdana" w:hAnsi="Verdana"/>
          <w:sz w:val="20"/>
          <w:szCs w:val="20"/>
          <w:lang w:val="pt-BR"/>
        </w:rPr>
        <w:t xml:space="preserve">os </w:t>
      </w:r>
      <w:r w:rsidR="00BD4F88" w:rsidRPr="00847692">
        <w:rPr>
          <w:rFonts w:ascii="Verdana" w:hAnsi="Verdana"/>
          <w:sz w:val="20"/>
          <w:szCs w:val="20"/>
          <w:lang w:val="pt-BR"/>
        </w:rPr>
        <w:t xml:space="preserve">interesses </w:t>
      </w:r>
      <w:r w:rsidR="00BD4F88">
        <w:rPr>
          <w:rFonts w:ascii="Verdana" w:hAnsi="Verdana"/>
          <w:sz w:val="20"/>
          <w:szCs w:val="20"/>
          <w:lang w:val="pt-BR"/>
        </w:rPr>
        <w:t>da coletividade</w:t>
      </w:r>
      <w:r w:rsidR="00847692">
        <w:rPr>
          <w:rFonts w:ascii="Verdana" w:hAnsi="Verdana"/>
          <w:sz w:val="20"/>
          <w:szCs w:val="20"/>
          <w:lang w:val="pt-BR"/>
        </w:rPr>
        <w:t xml:space="preserve">. </w:t>
      </w:r>
      <w:r w:rsidR="00804384" w:rsidRPr="008F7C00">
        <w:rPr>
          <w:rFonts w:ascii="Verdana" w:hAnsi="Verdana"/>
          <w:sz w:val="20"/>
          <w:szCs w:val="20"/>
          <w:lang w:val="pt-BR"/>
        </w:rPr>
        <w:t xml:space="preserve">Os principais nesse processo são tribunais de contas e Ministério Público. </w:t>
      </w:r>
    </w:p>
    <w:p w14:paraId="013A24DC" w14:textId="09423080" w:rsidR="00804384" w:rsidRPr="001B4EA4" w:rsidRDefault="00804384" w:rsidP="00804384">
      <w:pPr>
        <w:spacing w:line="276" w:lineRule="auto"/>
        <w:ind w:firstLine="708"/>
        <w:jc w:val="both"/>
        <w:rPr>
          <w:rFonts w:ascii="Verdana" w:hAnsi="Verdana"/>
          <w:sz w:val="20"/>
          <w:szCs w:val="20"/>
          <w:lang w:val="pt-BR"/>
        </w:rPr>
      </w:pPr>
      <w:r w:rsidRPr="00804384">
        <w:rPr>
          <w:rFonts w:ascii="Verdana" w:hAnsi="Verdana"/>
          <w:sz w:val="20"/>
          <w:szCs w:val="20"/>
          <w:lang w:val="pt-BR"/>
        </w:rPr>
        <w:t xml:space="preserve">Os tribunais de </w:t>
      </w:r>
      <w:r>
        <w:rPr>
          <w:rFonts w:ascii="Verdana" w:hAnsi="Verdana"/>
          <w:sz w:val="20"/>
          <w:szCs w:val="20"/>
          <w:lang w:val="pt-BR"/>
        </w:rPr>
        <w:t>c</w:t>
      </w:r>
      <w:r w:rsidRPr="00804384">
        <w:rPr>
          <w:rFonts w:ascii="Verdana" w:hAnsi="Verdana"/>
          <w:sz w:val="20"/>
          <w:szCs w:val="20"/>
          <w:lang w:val="pt-BR"/>
        </w:rPr>
        <w:t>onta</w:t>
      </w:r>
      <w:r>
        <w:rPr>
          <w:rFonts w:ascii="Verdana" w:hAnsi="Verdana"/>
          <w:sz w:val="20"/>
          <w:szCs w:val="20"/>
          <w:lang w:val="pt-BR"/>
        </w:rPr>
        <w:t xml:space="preserve">s possuem </w:t>
      </w:r>
      <w:r w:rsidRPr="00804384">
        <w:rPr>
          <w:rFonts w:ascii="Verdana" w:hAnsi="Verdana"/>
          <w:sz w:val="20"/>
          <w:szCs w:val="20"/>
          <w:lang w:val="pt-BR"/>
        </w:rPr>
        <w:t>competência para exercer controle de legitimidade, razoabilidade, economicidade, eficácia e legalidade sobre os processos de privatização.</w:t>
      </w:r>
      <w:r>
        <w:rPr>
          <w:rFonts w:ascii="Verdana" w:hAnsi="Verdana"/>
          <w:sz w:val="20"/>
          <w:szCs w:val="20"/>
          <w:lang w:val="pt-BR"/>
        </w:rPr>
        <w:t xml:space="preserve"> Possuem </w:t>
      </w:r>
      <w:r w:rsidRPr="00804384">
        <w:rPr>
          <w:rFonts w:ascii="Verdana" w:hAnsi="Verdana"/>
          <w:sz w:val="20"/>
          <w:szCs w:val="20"/>
          <w:lang w:val="pt-BR"/>
        </w:rPr>
        <w:t>uma atuação mais abrangente do que o Poder Judiciário, podendo inclusive avaliar os resultados obtidos pelo agente estatal quanto à eficácia da aplicação dos recursos públicos.</w:t>
      </w:r>
      <w:r>
        <w:rPr>
          <w:rFonts w:ascii="Verdana" w:hAnsi="Verdana"/>
          <w:sz w:val="20"/>
          <w:szCs w:val="20"/>
          <w:lang w:val="pt-BR"/>
        </w:rPr>
        <w:t xml:space="preserve"> Já o Ministério Público </w:t>
      </w:r>
      <w:r w:rsidR="00B010D5">
        <w:rPr>
          <w:rFonts w:ascii="Verdana" w:hAnsi="Verdana"/>
          <w:sz w:val="20"/>
          <w:szCs w:val="20"/>
          <w:lang w:val="pt-BR"/>
        </w:rPr>
        <w:t xml:space="preserve">tem a função de fiscalizar o cumprimento da Constituição Federal de forma independente para garantir a defesa </w:t>
      </w:r>
      <w:r w:rsidR="0083671A">
        <w:rPr>
          <w:rFonts w:ascii="Verdana" w:hAnsi="Verdana"/>
          <w:sz w:val="20"/>
          <w:szCs w:val="20"/>
          <w:lang w:val="pt-BR"/>
        </w:rPr>
        <w:t>d</w:t>
      </w:r>
      <w:r w:rsidR="00B010D5">
        <w:rPr>
          <w:rFonts w:ascii="Verdana" w:hAnsi="Verdana"/>
          <w:sz w:val="20"/>
          <w:szCs w:val="20"/>
          <w:lang w:val="pt-BR"/>
        </w:rPr>
        <w:t>a ordem jurídica, do regime democrático</w:t>
      </w:r>
      <w:r w:rsidR="009D0C3E">
        <w:rPr>
          <w:rFonts w:ascii="Verdana" w:hAnsi="Verdana"/>
          <w:sz w:val="20"/>
          <w:szCs w:val="20"/>
          <w:lang w:val="pt-BR"/>
        </w:rPr>
        <w:t xml:space="preserve"> e</w:t>
      </w:r>
      <w:r w:rsidR="00BD4F88" w:rsidRPr="00BD4F88">
        <w:rPr>
          <w:rFonts w:ascii="Verdana" w:hAnsi="Verdana"/>
          <w:sz w:val="20"/>
          <w:szCs w:val="20"/>
          <w:lang w:val="pt-BR"/>
        </w:rPr>
        <w:t xml:space="preserve"> </w:t>
      </w:r>
      <w:r w:rsidR="00BD4F88">
        <w:rPr>
          <w:rFonts w:ascii="Verdana" w:hAnsi="Verdana"/>
          <w:sz w:val="20"/>
          <w:szCs w:val="20"/>
          <w:lang w:val="pt-BR"/>
        </w:rPr>
        <w:t>do interesse público</w:t>
      </w:r>
      <w:r w:rsidR="00B010D5">
        <w:rPr>
          <w:rFonts w:ascii="Verdana" w:hAnsi="Verdana"/>
          <w:sz w:val="20"/>
          <w:szCs w:val="20"/>
          <w:lang w:val="pt-BR"/>
        </w:rPr>
        <w:t xml:space="preserve">. </w:t>
      </w:r>
    </w:p>
    <w:p w14:paraId="01BE47B6" w14:textId="6DECDA92" w:rsidR="00CE36E9" w:rsidRPr="001B4EA4" w:rsidRDefault="00CE36E9" w:rsidP="001B4EA4">
      <w:pPr>
        <w:spacing w:line="276" w:lineRule="auto"/>
        <w:ind w:firstLine="708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 xml:space="preserve">A criação das comissões mistas, quando não determinada constitucionalmente, ocorre por meio de </w:t>
      </w:r>
      <w:r w:rsidR="000133FF" w:rsidRPr="001B4EA4">
        <w:rPr>
          <w:rFonts w:ascii="Verdana" w:hAnsi="Verdana"/>
          <w:sz w:val="20"/>
          <w:szCs w:val="20"/>
          <w:lang w:val="pt-BR"/>
        </w:rPr>
        <w:t>r</w:t>
      </w:r>
      <w:r w:rsidRPr="001B4EA4">
        <w:rPr>
          <w:rFonts w:ascii="Verdana" w:hAnsi="Verdana"/>
          <w:sz w:val="20"/>
          <w:szCs w:val="20"/>
          <w:lang w:val="pt-BR"/>
        </w:rPr>
        <w:t xml:space="preserve">esolução aprovada pelo </w:t>
      </w:r>
      <w:r w:rsidR="000133FF" w:rsidRPr="001B4EA4">
        <w:rPr>
          <w:rFonts w:ascii="Verdana" w:hAnsi="Verdana"/>
          <w:sz w:val="20"/>
          <w:szCs w:val="20"/>
          <w:lang w:val="pt-BR"/>
        </w:rPr>
        <w:t>p</w:t>
      </w:r>
      <w:r w:rsidRPr="001B4EA4">
        <w:rPr>
          <w:rFonts w:ascii="Verdana" w:hAnsi="Verdana"/>
          <w:sz w:val="20"/>
          <w:szCs w:val="20"/>
          <w:lang w:val="pt-BR"/>
        </w:rPr>
        <w:t xml:space="preserve">lenário do Congresso Nacional ou por ato conjunto dos </w:t>
      </w:r>
      <w:r w:rsidR="000133FF" w:rsidRPr="001B4EA4">
        <w:rPr>
          <w:rFonts w:ascii="Verdana" w:hAnsi="Verdana"/>
          <w:sz w:val="20"/>
          <w:szCs w:val="20"/>
          <w:lang w:val="pt-BR"/>
        </w:rPr>
        <w:t>p</w:t>
      </w:r>
      <w:r w:rsidRPr="001B4EA4">
        <w:rPr>
          <w:rFonts w:ascii="Verdana" w:hAnsi="Verdana"/>
          <w:sz w:val="20"/>
          <w:szCs w:val="20"/>
          <w:lang w:val="pt-BR"/>
        </w:rPr>
        <w:t xml:space="preserve">residentes do Senado Federal e da Câmara dos Deputados. </w:t>
      </w:r>
    </w:p>
    <w:p w14:paraId="6F49B4ED" w14:textId="1FBC9DC2" w:rsidR="00CE36E9" w:rsidRPr="001B4EA4" w:rsidRDefault="002F38B3" w:rsidP="001B4EA4">
      <w:pPr>
        <w:spacing w:line="276" w:lineRule="auto"/>
        <w:ind w:firstLine="708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>Sugere-se que o</w:t>
      </w:r>
      <w:r w:rsidR="00CE36E9" w:rsidRPr="001B4EA4">
        <w:rPr>
          <w:rFonts w:ascii="Verdana" w:hAnsi="Verdana"/>
          <w:sz w:val="20"/>
          <w:szCs w:val="20"/>
          <w:lang w:val="pt-BR"/>
        </w:rPr>
        <w:t xml:space="preserve"> Tribunal de Contas da União </w:t>
      </w:r>
      <w:r w:rsidRPr="001B4EA4">
        <w:rPr>
          <w:rFonts w:ascii="Verdana" w:hAnsi="Verdana"/>
          <w:sz w:val="20"/>
          <w:szCs w:val="20"/>
          <w:lang w:val="pt-BR"/>
        </w:rPr>
        <w:t>seja</w:t>
      </w:r>
      <w:r w:rsidR="00CE36E9" w:rsidRPr="001B4EA4">
        <w:rPr>
          <w:rFonts w:ascii="Verdana" w:hAnsi="Verdana"/>
          <w:sz w:val="20"/>
          <w:szCs w:val="20"/>
          <w:lang w:val="pt-BR"/>
        </w:rPr>
        <w:t xml:space="preserve"> convocado a prestar auxílio à função de controle do Congresso Nacional</w:t>
      </w:r>
      <w:r w:rsidR="000133FF" w:rsidRPr="001B4EA4">
        <w:rPr>
          <w:rFonts w:ascii="Verdana" w:hAnsi="Verdana"/>
          <w:sz w:val="20"/>
          <w:szCs w:val="20"/>
          <w:lang w:val="pt-BR"/>
        </w:rPr>
        <w:t xml:space="preserve"> (</w:t>
      </w:r>
      <w:r w:rsidR="00CE36E9" w:rsidRPr="001B4EA4">
        <w:rPr>
          <w:rFonts w:ascii="Verdana" w:hAnsi="Verdana"/>
          <w:sz w:val="20"/>
          <w:szCs w:val="20"/>
          <w:lang w:val="pt-BR"/>
        </w:rPr>
        <w:t>por meio d</w:t>
      </w:r>
      <w:r w:rsidR="000133FF" w:rsidRPr="001B4EA4">
        <w:rPr>
          <w:rFonts w:ascii="Verdana" w:hAnsi="Verdana"/>
          <w:sz w:val="20"/>
          <w:szCs w:val="20"/>
          <w:lang w:val="pt-BR"/>
        </w:rPr>
        <w:t>a</w:t>
      </w:r>
      <w:r w:rsidR="00CE36E9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="000133FF" w:rsidRPr="001B4EA4">
        <w:rPr>
          <w:rFonts w:ascii="Verdana" w:hAnsi="Verdana"/>
          <w:sz w:val="20"/>
          <w:szCs w:val="20"/>
          <w:lang w:val="pt-BR"/>
        </w:rPr>
        <w:t>r</w:t>
      </w:r>
      <w:r w:rsidR="00CE36E9" w:rsidRPr="001B4EA4">
        <w:rPr>
          <w:rFonts w:ascii="Verdana" w:hAnsi="Verdana"/>
          <w:sz w:val="20"/>
          <w:szCs w:val="20"/>
          <w:lang w:val="pt-BR"/>
        </w:rPr>
        <w:t>esolução de criação da comissão</w:t>
      </w:r>
      <w:r w:rsidR="000133FF" w:rsidRPr="001B4EA4">
        <w:rPr>
          <w:rFonts w:ascii="Verdana" w:hAnsi="Verdana"/>
          <w:sz w:val="20"/>
          <w:szCs w:val="20"/>
          <w:lang w:val="pt-BR"/>
        </w:rPr>
        <w:t>)</w:t>
      </w:r>
      <w:r w:rsidR="00CE36E9" w:rsidRPr="001B4EA4">
        <w:rPr>
          <w:rFonts w:ascii="Verdana" w:hAnsi="Verdana"/>
          <w:sz w:val="20"/>
          <w:szCs w:val="20"/>
          <w:lang w:val="pt-BR"/>
        </w:rPr>
        <w:t>,</w:t>
      </w:r>
      <w:r w:rsidR="001D6A0D" w:rsidRPr="001B4EA4">
        <w:rPr>
          <w:rFonts w:ascii="Verdana" w:hAnsi="Verdana"/>
          <w:sz w:val="20"/>
          <w:szCs w:val="20"/>
          <w:lang w:val="pt-BR"/>
        </w:rPr>
        <w:t xml:space="preserve"> participando </w:t>
      </w:r>
      <w:r w:rsidR="00CE36E9" w:rsidRPr="001B4EA4">
        <w:rPr>
          <w:rFonts w:ascii="Verdana" w:hAnsi="Verdana"/>
          <w:sz w:val="20"/>
          <w:szCs w:val="20"/>
          <w:lang w:val="pt-BR"/>
        </w:rPr>
        <w:t xml:space="preserve">continuamente das reuniões para </w:t>
      </w:r>
      <w:r w:rsidR="000133FF" w:rsidRPr="001B4EA4">
        <w:rPr>
          <w:rFonts w:ascii="Verdana" w:hAnsi="Verdana"/>
          <w:sz w:val="20"/>
          <w:szCs w:val="20"/>
          <w:lang w:val="pt-BR"/>
        </w:rPr>
        <w:t>realização de auditorias e inspeções e prestação de</w:t>
      </w:r>
      <w:r w:rsidR="00CE36E9" w:rsidRPr="001B4EA4">
        <w:rPr>
          <w:rFonts w:ascii="Verdana" w:hAnsi="Verdana"/>
          <w:sz w:val="20"/>
          <w:szCs w:val="20"/>
          <w:lang w:val="pt-BR"/>
        </w:rPr>
        <w:t xml:space="preserve"> informações relevantes aos processos de privatização examinados. </w:t>
      </w:r>
    </w:p>
    <w:p w14:paraId="79AECCCC" w14:textId="7ACB7083" w:rsidR="00CE36E9" w:rsidRPr="001B4EA4" w:rsidRDefault="000133FF" w:rsidP="00E1329E">
      <w:pPr>
        <w:spacing w:line="276" w:lineRule="auto"/>
        <w:ind w:firstLine="708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>R</w:t>
      </w:r>
      <w:r w:rsidR="002F38B3" w:rsidRPr="001B4EA4">
        <w:rPr>
          <w:rFonts w:ascii="Verdana" w:hAnsi="Verdana"/>
          <w:sz w:val="20"/>
          <w:szCs w:val="20"/>
          <w:lang w:val="pt-BR"/>
        </w:rPr>
        <w:t xml:space="preserve">ecomenda-se </w:t>
      </w:r>
      <w:r w:rsidRPr="001B4EA4">
        <w:rPr>
          <w:rFonts w:ascii="Verdana" w:hAnsi="Verdana"/>
          <w:sz w:val="20"/>
          <w:szCs w:val="20"/>
          <w:lang w:val="pt-BR"/>
        </w:rPr>
        <w:t xml:space="preserve">também </w:t>
      </w:r>
      <w:r w:rsidR="002F38B3" w:rsidRPr="001B4EA4">
        <w:rPr>
          <w:rFonts w:ascii="Verdana" w:hAnsi="Verdana"/>
          <w:sz w:val="20"/>
          <w:szCs w:val="20"/>
          <w:lang w:val="pt-BR"/>
        </w:rPr>
        <w:t xml:space="preserve">que </w:t>
      </w:r>
      <w:r w:rsidR="00CE36E9" w:rsidRPr="001B4EA4">
        <w:rPr>
          <w:rFonts w:ascii="Verdana" w:hAnsi="Verdana"/>
          <w:sz w:val="20"/>
          <w:szCs w:val="20"/>
          <w:lang w:val="pt-BR"/>
        </w:rPr>
        <w:t xml:space="preserve">o Ministério Público </w:t>
      </w:r>
      <w:r w:rsidR="002F38B3" w:rsidRPr="001B4EA4">
        <w:rPr>
          <w:rFonts w:ascii="Verdana" w:hAnsi="Verdana"/>
          <w:sz w:val="20"/>
          <w:szCs w:val="20"/>
          <w:lang w:val="pt-BR"/>
        </w:rPr>
        <w:t>seja</w:t>
      </w:r>
      <w:r w:rsidRPr="001B4EA4">
        <w:rPr>
          <w:rFonts w:ascii="Verdana" w:hAnsi="Verdana"/>
          <w:sz w:val="20"/>
          <w:szCs w:val="20"/>
          <w:lang w:val="pt-BR"/>
        </w:rPr>
        <w:t xml:space="preserve"> convidado a participar de </w:t>
      </w:r>
      <w:r w:rsidR="00CE36E9" w:rsidRPr="001B4EA4">
        <w:rPr>
          <w:rFonts w:ascii="Verdana" w:hAnsi="Verdana"/>
          <w:sz w:val="20"/>
          <w:szCs w:val="20"/>
          <w:lang w:val="pt-BR"/>
        </w:rPr>
        <w:t xml:space="preserve">reuniões e audiências públicas e </w:t>
      </w:r>
      <w:r w:rsidR="002F38B3" w:rsidRPr="001B4EA4">
        <w:rPr>
          <w:rFonts w:ascii="Verdana" w:hAnsi="Verdana"/>
          <w:sz w:val="20"/>
          <w:szCs w:val="20"/>
          <w:lang w:val="pt-BR"/>
        </w:rPr>
        <w:t>que sejam</w:t>
      </w:r>
      <w:r w:rsidR="00CE36E9" w:rsidRPr="001B4EA4">
        <w:rPr>
          <w:rFonts w:ascii="Verdana" w:hAnsi="Verdana"/>
          <w:sz w:val="20"/>
          <w:szCs w:val="20"/>
          <w:lang w:val="pt-BR"/>
        </w:rPr>
        <w:t xml:space="preserve"> enviados relatórios periódicos do andamento dos trabalhos ao órgão</w:t>
      </w:r>
      <w:r w:rsidR="00040E3C" w:rsidRPr="001B4EA4">
        <w:rPr>
          <w:rFonts w:ascii="Verdana" w:hAnsi="Verdana"/>
          <w:sz w:val="20"/>
          <w:szCs w:val="20"/>
          <w:lang w:val="pt-BR"/>
        </w:rPr>
        <w:t xml:space="preserve"> interno</w:t>
      </w:r>
      <w:r w:rsidR="00CE36E9" w:rsidRPr="001B4EA4">
        <w:rPr>
          <w:rFonts w:ascii="Verdana" w:hAnsi="Verdana"/>
          <w:sz w:val="20"/>
          <w:szCs w:val="20"/>
          <w:lang w:val="pt-BR"/>
        </w:rPr>
        <w:t xml:space="preserve"> competente.</w:t>
      </w:r>
    </w:p>
    <w:p w14:paraId="06D24522" w14:textId="77777777" w:rsidR="00B77231" w:rsidRPr="001B4EA4" w:rsidRDefault="00B77231" w:rsidP="001B4EA4">
      <w:pPr>
        <w:spacing w:line="276" w:lineRule="auto"/>
        <w:ind w:firstLine="708"/>
        <w:jc w:val="both"/>
        <w:rPr>
          <w:rFonts w:ascii="Verdana" w:hAnsi="Verdana"/>
          <w:sz w:val="20"/>
          <w:szCs w:val="20"/>
          <w:lang w:val="pt-BR"/>
        </w:rPr>
      </w:pPr>
    </w:p>
    <w:p w14:paraId="3104B72C" w14:textId="3E887C69" w:rsidR="00995CF3" w:rsidRPr="001B4EA4" w:rsidRDefault="00995CF3" w:rsidP="001B4EA4">
      <w:pPr>
        <w:spacing w:line="276" w:lineRule="auto"/>
        <w:ind w:hanging="284"/>
        <w:jc w:val="both"/>
        <w:rPr>
          <w:rFonts w:ascii="Verdana" w:hAnsi="Verdana"/>
          <w:sz w:val="20"/>
          <w:szCs w:val="20"/>
          <w:lang w:val="pt-BR"/>
        </w:rPr>
      </w:pPr>
      <w:r w:rsidRPr="00E1329E">
        <w:rPr>
          <w:rFonts w:ascii="Verdana" w:hAnsi="Verdana"/>
          <w:noProof/>
          <w:sz w:val="20"/>
          <w:szCs w:val="20"/>
          <w:lang w:val="pt-BR" w:eastAsia="pt-BR"/>
        </w:rPr>
        <w:drawing>
          <wp:inline distT="0" distB="0" distL="0" distR="0" wp14:anchorId="1519A85B" wp14:editId="77EF74CA">
            <wp:extent cx="6150634" cy="1219200"/>
            <wp:effectExtent l="38100" t="19050" r="4064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14:paraId="021196D9" w14:textId="77777777" w:rsidR="00DE6CF4" w:rsidRPr="001B4EA4" w:rsidRDefault="00DE6CF4" w:rsidP="00E1329E">
      <w:pPr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</w:p>
    <w:p w14:paraId="41F3B31B" w14:textId="632BF009" w:rsidR="005D4775" w:rsidRPr="00215482" w:rsidRDefault="001B4EA4" w:rsidP="00E1329E">
      <w:pPr>
        <w:pStyle w:val="Ttulo3"/>
        <w:spacing w:line="276" w:lineRule="auto"/>
        <w:jc w:val="both"/>
        <w:rPr>
          <w:rFonts w:ascii="Verdana" w:hAnsi="Verdana"/>
          <w:b/>
          <w:sz w:val="20"/>
          <w:szCs w:val="20"/>
          <w:lang w:val="pt-BR"/>
        </w:rPr>
      </w:pPr>
      <w:bookmarkStart w:id="33" w:name="_Toc20752238"/>
      <w:r w:rsidRPr="00215482">
        <w:rPr>
          <w:rFonts w:ascii="Verdana" w:hAnsi="Verdana"/>
          <w:b/>
          <w:sz w:val="20"/>
          <w:szCs w:val="20"/>
          <w:lang w:val="pt-BR"/>
        </w:rPr>
        <w:t xml:space="preserve">2.2 </w:t>
      </w:r>
      <w:r w:rsidR="005D4775" w:rsidRPr="00215482">
        <w:rPr>
          <w:rFonts w:ascii="Verdana" w:hAnsi="Verdana"/>
          <w:b/>
          <w:sz w:val="20"/>
          <w:szCs w:val="20"/>
          <w:lang w:val="pt-BR"/>
        </w:rPr>
        <w:t>Desjudicialização</w:t>
      </w:r>
      <w:bookmarkEnd w:id="33"/>
    </w:p>
    <w:p w14:paraId="77D4A8B5" w14:textId="77777777" w:rsidR="00DE6CF4" w:rsidRPr="00E1329E" w:rsidRDefault="00DE6CF4" w:rsidP="00E1329E">
      <w:pPr>
        <w:pStyle w:val="SemEspaamento"/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</w:p>
    <w:p w14:paraId="0BE5F33D" w14:textId="6BC1D19C" w:rsidR="000D2DA6" w:rsidRPr="001B4EA4" w:rsidRDefault="00C2471D" w:rsidP="001B4EA4">
      <w:pPr>
        <w:spacing w:line="276" w:lineRule="auto"/>
        <w:ind w:firstLine="708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 xml:space="preserve">A via judicial, uma opção adotada pelos brasileiros historicamente, está enraizada em nossa cultura, sendo </w:t>
      </w:r>
      <w:r w:rsidR="00845C3A" w:rsidRPr="001B4EA4">
        <w:rPr>
          <w:rFonts w:ascii="Verdana" w:hAnsi="Verdana"/>
          <w:sz w:val="20"/>
          <w:szCs w:val="20"/>
          <w:lang w:val="pt-BR"/>
        </w:rPr>
        <w:t>na prática</w:t>
      </w:r>
      <w:r w:rsidRPr="001B4EA4">
        <w:rPr>
          <w:rFonts w:ascii="Verdana" w:hAnsi="Verdana"/>
          <w:sz w:val="20"/>
          <w:szCs w:val="20"/>
          <w:lang w:val="pt-BR"/>
        </w:rPr>
        <w:t xml:space="preserve"> a única alternativa adotada para a solução de controvérsias, </w:t>
      </w:r>
      <w:r w:rsidR="00845C3A" w:rsidRPr="001B4EA4">
        <w:rPr>
          <w:rFonts w:ascii="Verdana" w:hAnsi="Verdana"/>
          <w:sz w:val="20"/>
          <w:szCs w:val="20"/>
          <w:lang w:val="pt-BR"/>
        </w:rPr>
        <w:t>em especial</w:t>
      </w:r>
      <w:r w:rsidRPr="001B4EA4">
        <w:rPr>
          <w:rFonts w:ascii="Verdana" w:hAnsi="Verdana"/>
          <w:sz w:val="20"/>
          <w:szCs w:val="20"/>
          <w:lang w:val="pt-BR"/>
        </w:rPr>
        <w:t xml:space="preserve"> quando o interesse em questão é eminentemente público.</w:t>
      </w:r>
      <w:r w:rsidR="00275ED3" w:rsidRPr="001B4EA4">
        <w:rPr>
          <w:rFonts w:ascii="Verdana" w:hAnsi="Verdana"/>
          <w:sz w:val="20"/>
          <w:szCs w:val="20"/>
          <w:lang w:val="pt-BR"/>
        </w:rPr>
        <w:t xml:space="preserve"> </w:t>
      </w:r>
    </w:p>
    <w:p w14:paraId="3CA28005" w14:textId="6EF2F5B4" w:rsidR="00C2471D" w:rsidRPr="001B4EA4" w:rsidRDefault="00A75DDB" w:rsidP="001B4EA4">
      <w:pPr>
        <w:spacing w:line="276" w:lineRule="auto"/>
        <w:ind w:firstLine="708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 xml:space="preserve">O aumento da judicialização dos conflitos </w:t>
      </w:r>
      <w:r w:rsidR="000133FF" w:rsidRPr="001B4EA4">
        <w:rPr>
          <w:rFonts w:ascii="Verdana" w:hAnsi="Verdana"/>
          <w:sz w:val="20"/>
          <w:szCs w:val="20"/>
          <w:lang w:val="pt-BR"/>
        </w:rPr>
        <w:t>ocorre</w:t>
      </w:r>
      <w:r w:rsidRPr="001B4EA4">
        <w:rPr>
          <w:rFonts w:ascii="Verdana" w:hAnsi="Verdana"/>
          <w:sz w:val="20"/>
          <w:szCs w:val="20"/>
          <w:lang w:val="pt-BR"/>
        </w:rPr>
        <w:t xml:space="preserve"> tanto pelo aumento no número de demandas quando </w:t>
      </w:r>
      <w:r w:rsidR="000133FF" w:rsidRPr="001B4EA4">
        <w:rPr>
          <w:rFonts w:ascii="Verdana" w:hAnsi="Verdana"/>
          <w:sz w:val="20"/>
          <w:szCs w:val="20"/>
          <w:lang w:val="pt-BR"/>
        </w:rPr>
        <w:t>pel</w:t>
      </w:r>
      <w:r w:rsidRPr="001B4EA4">
        <w:rPr>
          <w:rFonts w:ascii="Verdana" w:hAnsi="Verdana"/>
          <w:sz w:val="20"/>
          <w:szCs w:val="20"/>
          <w:lang w:val="pt-BR"/>
        </w:rPr>
        <w:t xml:space="preserve">a incapacidade dos demais entes estatais </w:t>
      </w:r>
      <w:r w:rsidR="000133FF" w:rsidRPr="001B4EA4">
        <w:rPr>
          <w:rFonts w:ascii="Verdana" w:hAnsi="Verdana"/>
          <w:sz w:val="20"/>
          <w:szCs w:val="20"/>
          <w:lang w:val="pt-BR"/>
        </w:rPr>
        <w:t>de</w:t>
      </w:r>
      <w:r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="000133FF" w:rsidRPr="001B4EA4">
        <w:rPr>
          <w:rFonts w:ascii="Verdana" w:hAnsi="Verdana"/>
          <w:sz w:val="20"/>
          <w:szCs w:val="20"/>
          <w:lang w:val="pt-BR"/>
        </w:rPr>
        <w:t>chegar a</w:t>
      </w:r>
      <w:r w:rsidRPr="001B4EA4">
        <w:rPr>
          <w:rFonts w:ascii="Verdana" w:hAnsi="Verdana"/>
          <w:sz w:val="20"/>
          <w:szCs w:val="20"/>
          <w:lang w:val="pt-BR"/>
        </w:rPr>
        <w:t xml:space="preserve"> soluções extrajudiciais. </w:t>
      </w:r>
      <w:r w:rsidR="000133FF" w:rsidRPr="001B4EA4">
        <w:rPr>
          <w:rFonts w:ascii="Verdana" w:hAnsi="Verdana"/>
          <w:sz w:val="20"/>
          <w:szCs w:val="20"/>
          <w:lang w:val="pt-BR"/>
        </w:rPr>
        <w:t>Trata-se de</w:t>
      </w:r>
      <w:r w:rsidRPr="001B4EA4">
        <w:rPr>
          <w:rFonts w:ascii="Verdana" w:hAnsi="Verdana"/>
          <w:sz w:val="20"/>
          <w:szCs w:val="20"/>
          <w:lang w:val="pt-BR"/>
        </w:rPr>
        <w:t xml:space="preserve"> mais um fator causador de insegurança jurídica</w:t>
      </w:r>
      <w:r w:rsidR="000133FF" w:rsidRPr="001B4EA4">
        <w:rPr>
          <w:rFonts w:ascii="Verdana" w:hAnsi="Verdana"/>
          <w:sz w:val="20"/>
          <w:szCs w:val="20"/>
          <w:lang w:val="pt-BR"/>
        </w:rPr>
        <w:t xml:space="preserve"> — por seu alto custo, morosidade e </w:t>
      </w:r>
      <w:r w:rsidR="002F75EB" w:rsidRPr="001B4EA4">
        <w:rPr>
          <w:rFonts w:ascii="Verdana" w:hAnsi="Verdana"/>
          <w:sz w:val="20"/>
          <w:szCs w:val="20"/>
          <w:lang w:val="pt-BR"/>
        </w:rPr>
        <w:t xml:space="preserve">excesso de formalismo e </w:t>
      </w:r>
      <w:r w:rsidR="000133FF" w:rsidRPr="001B4EA4">
        <w:rPr>
          <w:rFonts w:ascii="Verdana" w:hAnsi="Verdana"/>
          <w:sz w:val="20"/>
          <w:szCs w:val="20"/>
          <w:lang w:val="pt-BR"/>
        </w:rPr>
        <w:t xml:space="preserve">de </w:t>
      </w:r>
      <w:r w:rsidR="002F75EB" w:rsidRPr="001B4EA4">
        <w:rPr>
          <w:rFonts w:ascii="Verdana" w:hAnsi="Verdana"/>
          <w:sz w:val="20"/>
          <w:szCs w:val="20"/>
          <w:lang w:val="pt-BR"/>
        </w:rPr>
        <w:t>fases processuais.</w:t>
      </w:r>
    </w:p>
    <w:p w14:paraId="3526D28F" w14:textId="3EE4AD6F" w:rsidR="00940D72" w:rsidRPr="001B4EA4" w:rsidRDefault="00940D72" w:rsidP="001B4EA4">
      <w:pPr>
        <w:spacing w:line="276" w:lineRule="auto"/>
        <w:ind w:firstLine="708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 xml:space="preserve">Um processo de privatização, repleto de interesses </w:t>
      </w:r>
      <w:r w:rsidR="000E669B" w:rsidRPr="001B4EA4">
        <w:rPr>
          <w:rFonts w:ascii="Verdana" w:hAnsi="Verdana"/>
          <w:sz w:val="20"/>
          <w:szCs w:val="20"/>
          <w:lang w:val="pt-BR"/>
        </w:rPr>
        <w:t>divergentes</w:t>
      </w:r>
      <w:r w:rsidRPr="001B4EA4">
        <w:rPr>
          <w:rFonts w:ascii="Verdana" w:hAnsi="Verdana"/>
          <w:sz w:val="20"/>
          <w:szCs w:val="20"/>
          <w:lang w:val="pt-BR"/>
        </w:rPr>
        <w:t xml:space="preserve">, etapas procedimentais e que demandam a colaboração de </w:t>
      </w:r>
      <w:r w:rsidR="000133FF" w:rsidRPr="001B4EA4">
        <w:rPr>
          <w:rFonts w:ascii="Verdana" w:hAnsi="Verdana"/>
          <w:sz w:val="20"/>
          <w:szCs w:val="20"/>
          <w:lang w:val="pt-BR"/>
        </w:rPr>
        <w:t xml:space="preserve">diversos </w:t>
      </w:r>
      <w:r w:rsidRPr="001B4EA4">
        <w:rPr>
          <w:rFonts w:ascii="Verdana" w:hAnsi="Verdana"/>
          <w:sz w:val="20"/>
          <w:szCs w:val="20"/>
          <w:lang w:val="pt-BR"/>
        </w:rPr>
        <w:t>atores sociais e instituições, está sujeito a questionamentos judiciais</w:t>
      </w:r>
      <w:r w:rsidR="000E3A86" w:rsidRPr="001B4EA4">
        <w:rPr>
          <w:rFonts w:ascii="Verdana" w:hAnsi="Verdana"/>
          <w:sz w:val="20"/>
          <w:szCs w:val="20"/>
          <w:lang w:val="pt-BR"/>
        </w:rPr>
        <w:t xml:space="preserve"> em variados momentos e por </w:t>
      </w:r>
      <w:r w:rsidR="000133FF" w:rsidRPr="001B4EA4">
        <w:rPr>
          <w:rFonts w:ascii="Verdana" w:hAnsi="Verdana"/>
          <w:sz w:val="20"/>
          <w:szCs w:val="20"/>
          <w:lang w:val="pt-BR"/>
        </w:rPr>
        <w:t>muitos</w:t>
      </w:r>
      <w:r w:rsidR="000E3A86" w:rsidRPr="001B4EA4">
        <w:rPr>
          <w:rFonts w:ascii="Verdana" w:hAnsi="Verdana"/>
          <w:sz w:val="20"/>
          <w:szCs w:val="20"/>
          <w:lang w:val="pt-BR"/>
        </w:rPr>
        <w:t xml:space="preserve"> motivos</w:t>
      </w:r>
      <w:r w:rsidRPr="001B4EA4">
        <w:rPr>
          <w:rFonts w:ascii="Verdana" w:hAnsi="Verdana"/>
          <w:sz w:val="20"/>
          <w:szCs w:val="20"/>
          <w:lang w:val="pt-BR"/>
        </w:rPr>
        <w:t>.</w:t>
      </w:r>
      <w:r w:rsidR="00C2471D" w:rsidRPr="001B4EA4">
        <w:rPr>
          <w:rFonts w:ascii="Verdana" w:hAnsi="Verdana"/>
          <w:sz w:val="20"/>
          <w:szCs w:val="20"/>
          <w:lang w:val="pt-BR"/>
        </w:rPr>
        <w:t xml:space="preserve"> </w:t>
      </w:r>
    </w:p>
    <w:p w14:paraId="2D689A08" w14:textId="4AD93A6B" w:rsidR="008B53B6" w:rsidRPr="001B4EA4" w:rsidRDefault="00940D72" w:rsidP="001B4EA4">
      <w:pPr>
        <w:spacing w:line="276" w:lineRule="auto"/>
        <w:ind w:firstLine="708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 xml:space="preserve">Há uma tendência mundial de </w:t>
      </w:r>
      <w:r w:rsidR="000E669B" w:rsidRPr="001B4EA4">
        <w:rPr>
          <w:rFonts w:ascii="Verdana" w:hAnsi="Verdana"/>
          <w:sz w:val="20"/>
          <w:szCs w:val="20"/>
          <w:lang w:val="pt-BR"/>
        </w:rPr>
        <w:t>d</w:t>
      </w:r>
      <w:r w:rsidR="00EE72FF" w:rsidRPr="001B4EA4">
        <w:rPr>
          <w:rFonts w:ascii="Verdana" w:hAnsi="Verdana"/>
          <w:sz w:val="20"/>
          <w:szCs w:val="20"/>
          <w:lang w:val="pt-BR"/>
        </w:rPr>
        <w:t>esjudicialização de</w:t>
      </w:r>
      <w:r w:rsidRPr="001B4EA4">
        <w:rPr>
          <w:rFonts w:ascii="Verdana" w:hAnsi="Verdana"/>
          <w:sz w:val="20"/>
          <w:szCs w:val="20"/>
          <w:lang w:val="pt-BR"/>
        </w:rPr>
        <w:t xml:space="preserve"> atos jurídicos </w:t>
      </w:r>
      <w:r w:rsidR="000133FF" w:rsidRPr="001B4EA4">
        <w:rPr>
          <w:rFonts w:ascii="Verdana" w:hAnsi="Verdana"/>
          <w:sz w:val="20"/>
          <w:szCs w:val="20"/>
          <w:lang w:val="pt-BR"/>
        </w:rPr>
        <w:t>por meio de</w:t>
      </w:r>
      <w:r w:rsidRPr="001B4EA4">
        <w:rPr>
          <w:rFonts w:ascii="Verdana" w:hAnsi="Verdana"/>
          <w:sz w:val="20"/>
          <w:szCs w:val="20"/>
          <w:lang w:val="pt-BR"/>
        </w:rPr>
        <w:t xml:space="preserve"> uma mudança de postura</w:t>
      </w:r>
      <w:r w:rsidR="000133FF" w:rsidRPr="001B4EA4">
        <w:rPr>
          <w:rFonts w:ascii="Verdana" w:hAnsi="Verdana"/>
          <w:sz w:val="20"/>
          <w:szCs w:val="20"/>
          <w:lang w:val="pt-BR"/>
        </w:rPr>
        <w:t>:</w:t>
      </w:r>
      <w:r w:rsidRPr="001B4EA4">
        <w:rPr>
          <w:rFonts w:ascii="Verdana" w:hAnsi="Verdana"/>
          <w:sz w:val="20"/>
          <w:szCs w:val="20"/>
          <w:lang w:val="pt-BR"/>
        </w:rPr>
        <w:t xml:space="preserve"> de adversarial para colaborativa</w:t>
      </w:r>
      <w:r w:rsidR="00340786" w:rsidRPr="001B4EA4">
        <w:rPr>
          <w:rFonts w:ascii="Verdana" w:hAnsi="Verdana"/>
          <w:sz w:val="20"/>
          <w:szCs w:val="20"/>
          <w:lang w:val="pt-BR"/>
        </w:rPr>
        <w:t xml:space="preserve">. </w:t>
      </w:r>
      <w:r w:rsidR="0032073C" w:rsidRPr="001B4EA4">
        <w:rPr>
          <w:rFonts w:ascii="Verdana" w:hAnsi="Verdana"/>
          <w:sz w:val="20"/>
          <w:szCs w:val="20"/>
          <w:lang w:val="pt-BR"/>
        </w:rPr>
        <w:t>A</w:t>
      </w:r>
      <w:r w:rsidRPr="001B4EA4">
        <w:rPr>
          <w:rFonts w:ascii="Verdana" w:hAnsi="Verdana"/>
          <w:sz w:val="20"/>
          <w:szCs w:val="20"/>
          <w:lang w:val="pt-BR"/>
        </w:rPr>
        <w:t xml:space="preserve"> coordenação de ações entre todos os envolvidos </w:t>
      </w:r>
      <w:r w:rsidR="0032073C" w:rsidRPr="001B4EA4">
        <w:rPr>
          <w:rFonts w:ascii="Verdana" w:hAnsi="Verdana"/>
          <w:sz w:val="20"/>
          <w:szCs w:val="20"/>
          <w:lang w:val="pt-BR"/>
        </w:rPr>
        <w:t xml:space="preserve">é o comportamento esperado </w:t>
      </w:r>
      <w:r w:rsidRPr="001B4EA4">
        <w:rPr>
          <w:rFonts w:ascii="Verdana" w:hAnsi="Verdana"/>
          <w:sz w:val="20"/>
          <w:szCs w:val="20"/>
          <w:lang w:val="pt-BR"/>
        </w:rPr>
        <w:t xml:space="preserve">em um processo de privatização. </w:t>
      </w:r>
    </w:p>
    <w:p w14:paraId="20E9F5D5" w14:textId="10C641BE" w:rsidR="008B53B6" w:rsidRPr="001B4EA4" w:rsidRDefault="00940D72" w:rsidP="001B4EA4">
      <w:pPr>
        <w:spacing w:line="276" w:lineRule="auto"/>
        <w:ind w:firstLine="708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>Esse movimento é democrático</w:t>
      </w:r>
      <w:r w:rsidR="000133FF" w:rsidRPr="001B4EA4">
        <w:rPr>
          <w:rFonts w:ascii="Verdana" w:hAnsi="Verdana"/>
          <w:sz w:val="20"/>
          <w:szCs w:val="20"/>
          <w:lang w:val="pt-BR"/>
        </w:rPr>
        <w:t>,</w:t>
      </w:r>
      <w:r w:rsidR="0032073C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Pr="001B4EA4">
        <w:rPr>
          <w:rFonts w:ascii="Verdana" w:hAnsi="Verdana"/>
          <w:sz w:val="20"/>
          <w:szCs w:val="20"/>
          <w:lang w:val="pt-BR"/>
        </w:rPr>
        <w:t>alarga o espectro do protagonismo pela busca de soluções eficientes</w:t>
      </w:r>
      <w:r w:rsidR="000133FF" w:rsidRPr="001B4EA4">
        <w:rPr>
          <w:rFonts w:ascii="Verdana" w:hAnsi="Verdana"/>
          <w:sz w:val="20"/>
          <w:szCs w:val="20"/>
          <w:lang w:val="pt-BR"/>
        </w:rPr>
        <w:t xml:space="preserve"> — ao </w:t>
      </w:r>
      <w:r w:rsidRPr="001B4EA4">
        <w:rPr>
          <w:rFonts w:ascii="Verdana" w:hAnsi="Verdana"/>
          <w:sz w:val="20"/>
          <w:szCs w:val="20"/>
          <w:lang w:val="pt-BR"/>
        </w:rPr>
        <w:t>empodera</w:t>
      </w:r>
      <w:r w:rsidR="000133FF" w:rsidRPr="001B4EA4">
        <w:rPr>
          <w:rFonts w:ascii="Verdana" w:hAnsi="Verdana"/>
          <w:sz w:val="20"/>
          <w:szCs w:val="20"/>
          <w:lang w:val="pt-BR"/>
        </w:rPr>
        <w:t>r</w:t>
      </w:r>
      <w:r w:rsidRPr="001B4EA4">
        <w:rPr>
          <w:rFonts w:ascii="Verdana" w:hAnsi="Verdana"/>
          <w:sz w:val="20"/>
          <w:szCs w:val="20"/>
          <w:lang w:val="pt-BR"/>
        </w:rPr>
        <w:t xml:space="preserve"> os envolvidos</w:t>
      </w:r>
      <w:r w:rsidR="000133FF" w:rsidRPr="001B4EA4">
        <w:rPr>
          <w:rFonts w:ascii="Verdana" w:hAnsi="Verdana"/>
          <w:sz w:val="20"/>
          <w:szCs w:val="20"/>
          <w:lang w:val="pt-BR"/>
        </w:rPr>
        <w:t xml:space="preserve"> —</w:t>
      </w:r>
      <w:r w:rsidRPr="001B4EA4">
        <w:rPr>
          <w:rFonts w:ascii="Verdana" w:hAnsi="Verdana"/>
          <w:sz w:val="20"/>
          <w:szCs w:val="20"/>
          <w:lang w:val="pt-BR"/>
        </w:rPr>
        <w:t xml:space="preserve"> e dissemina uma cultura de tolerância, solidariedad</w:t>
      </w:r>
      <w:r w:rsidR="0032073C" w:rsidRPr="001B4EA4">
        <w:rPr>
          <w:rFonts w:ascii="Verdana" w:hAnsi="Verdana"/>
          <w:sz w:val="20"/>
          <w:szCs w:val="20"/>
          <w:lang w:val="pt-BR"/>
        </w:rPr>
        <w:t>e e</w:t>
      </w:r>
      <w:r w:rsidRPr="001B4EA4">
        <w:rPr>
          <w:rFonts w:ascii="Verdana" w:hAnsi="Verdana"/>
          <w:sz w:val="20"/>
          <w:szCs w:val="20"/>
          <w:lang w:val="pt-BR"/>
        </w:rPr>
        <w:t xml:space="preserve"> pluralismo</w:t>
      </w:r>
      <w:r w:rsidR="0032073C" w:rsidRPr="001B4EA4">
        <w:rPr>
          <w:rFonts w:ascii="Verdana" w:hAnsi="Verdana"/>
          <w:sz w:val="20"/>
          <w:szCs w:val="20"/>
          <w:lang w:val="pt-BR"/>
        </w:rPr>
        <w:t>. U</w:t>
      </w:r>
      <w:r w:rsidRPr="001B4EA4">
        <w:rPr>
          <w:rFonts w:ascii="Verdana" w:hAnsi="Verdana"/>
          <w:sz w:val="20"/>
          <w:szCs w:val="20"/>
          <w:lang w:val="pt-BR"/>
        </w:rPr>
        <w:t xml:space="preserve">m processo </w:t>
      </w:r>
      <w:r w:rsidR="0032073C" w:rsidRPr="001B4EA4">
        <w:rPr>
          <w:rFonts w:ascii="Verdana" w:hAnsi="Verdana"/>
          <w:sz w:val="20"/>
          <w:szCs w:val="20"/>
          <w:lang w:val="pt-BR"/>
        </w:rPr>
        <w:t xml:space="preserve">mais </w:t>
      </w:r>
      <w:r w:rsidRPr="001B4EA4">
        <w:rPr>
          <w:rFonts w:ascii="Verdana" w:hAnsi="Verdana"/>
          <w:sz w:val="20"/>
          <w:szCs w:val="20"/>
          <w:lang w:val="pt-BR"/>
        </w:rPr>
        <w:t>colaborativo</w:t>
      </w:r>
      <w:r w:rsidR="0032073C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Pr="001B4EA4">
        <w:rPr>
          <w:rFonts w:ascii="Verdana" w:hAnsi="Verdana"/>
          <w:sz w:val="20"/>
          <w:szCs w:val="20"/>
          <w:lang w:val="pt-BR"/>
        </w:rPr>
        <w:t>permi</w:t>
      </w:r>
      <w:r w:rsidR="0032073C" w:rsidRPr="001B4EA4">
        <w:rPr>
          <w:rFonts w:ascii="Verdana" w:hAnsi="Verdana"/>
          <w:sz w:val="20"/>
          <w:szCs w:val="20"/>
          <w:lang w:val="pt-BR"/>
        </w:rPr>
        <w:t>te</w:t>
      </w:r>
      <w:r w:rsidRPr="001B4EA4">
        <w:rPr>
          <w:rFonts w:ascii="Verdana" w:hAnsi="Verdana"/>
          <w:sz w:val="20"/>
          <w:szCs w:val="20"/>
          <w:lang w:val="pt-BR"/>
        </w:rPr>
        <w:t xml:space="preserve"> uma solução mais justa e legitimada por todos.</w:t>
      </w:r>
      <w:r w:rsidR="00275ED3" w:rsidRPr="001B4EA4">
        <w:rPr>
          <w:rFonts w:ascii="Verdana" w:hAnsi="Verdana"/>
          <w:sz w:val="20"/>
          <w:szCs w:val="20"/>
          <w:lang w:val="pt-BR"/>
        </w:rPr>
        <w:t xml:space="preserve"> </w:t>
      </w:r>
    </w:p>
    <w:p w14:paraId="2A330347" w14:textId="77777777" w:rsidR="00DE6CF4" w:rsidRPr="001B4EA4" w:rsidRDefault="00DE6CF4" w:rsidP="001B4EA4">
      <w:pPr>
        <w:spacing w:line="276" w:lineRule="auto"/>
        <w:ind w:firstLine="708"/>
        <w:jc w:val="both"/>
        <w:rPr>
          <w:rFonts w:ascii="Verdana" w:hAnsi="Verdana"/>
          <w:sz w:val="20"/>
          <w:szCs w:val="20"/>
          <w:lang w:val="pt-BR"/>
        </w:rPr>
      </w:pPr>
    </w:p>
    <w:tbl>
      <w:tblPr>
        <w:tblStyle w:val="TabeladeLista3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995CF3" w:rsidRPr="001B4EA4" w14:paraId="4C7F523F" w14:textId="77777777" w:rsidTr="00DE6C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vAlign w:val="center"/>
          </w:tcPr>
          <w:p w14:paraId="1ED0D4C5" w14:textId="77777777" w:rsidR="00995CF3" w:rsidRPr="001B4EA4" w:rsidRDefault="00995CF3" w:rsidP="00E1329E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pt-BR"/>
              </w:rPr>
            </w:pPr>
            <w:r w:rsidRPr="001B4EA4">
              <w:rPr>
                <w:rFonts w:ascii="Verdana" w:hAnsi="Verdana"/>
                <w:sz w:val="20"/>
                <w:szCs w:val="20"/>
                <w:lang w:val="pt-BR"/>
              </w:rPr>
              <w:t>Recomendação</w:t>
            </w:r>
          </w:p>
        </w:tc>
      </w:tr>
      <w:tr w:rsidR="00995CF3" w:rsidRPr="006F538F" w14:paraId="7FD8A891" w14:textId="77777777" w:rsidTr="002154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000000"/>
            </w:tcBorders>
            <w:vAlign w:val="center"/>
          </w:tcPr>
          <w:p w14:paraId="4B831C11" w14:textId="428B15E1" w:rsidR="00995CF3" w:rsidRPr="00157AE3" w:rsidRDefault="00995CF3" w:rsidP="001B4EA4">
            <w:pPr>
              <w:spacing w:line="276" w:lineRule="auto"/>
              <w:jc w:val="both"/>
              <w:rPr>
                <w:rFonts w:ascii="Verdana" w:hAnsi="Verdana"/>
                <w:b w:val="0"/>
                <w:sz w:val="20"/>
                <w:szCs w:val="20"/>
                <w:lang w:val="pt-BR"/>
              </w:rPr>
            </w:pPr>
            <w:r w:rsidRPr="00157AE3">
              <w:rPr>
                <w:rFonts w:ascii="Verdana" w:hAnsi="Verdana"/>
                <w:b w:val="0"/>
                <w:sz w:val="20"/>
                <w:szCs w:val="20"/>
                <w:lang w:val="pt-BR"/>
              </w:rPr>
              <w:t>Recomenda-se a abertura de um processo de diálogo entre os atores e as instituições envolvidas</w:t>
            </w:r>
            <w:r w:rsidR="000133FF" w:rsidRPr="00157AE3">
              <w:rPr>
                <w:rFonts w:ascii="Verdana" w:hAnsi="Verdana"/>
                <w:b w:val="0"/>
                <w:sz w:val="20"/>
                <w:szCs w:val="20"/>
                <w:lang w:val="pt-BR"/>
              </w:rPr>
              <w:t>,</w:t>
            </w:r>
            <w:r w:rsidRPr="00157AE3">
              <w:rPr>
                <w:rFonts w:ascii="Verdana" w:hAnsi="Verdana"/>
                <w:b w:val="0"/>
                <w:sz w:val="20"/>
                <w:szCs w:val="20"/>
                <w:lang w:val="pt-BR"/>
              </w:rPr>
              <w:t xml:space="preserve"> para uma verdadeira e profunda transformação cultural do processo de privatização pautado em um contraditório cooperativo e </w:t>
            </w:r>
            <w:r w:rsidR="000133FF" w:rsidRPr="00157AE3">
              <w:rPr>
                <w:rFonts w:ascii="Verdana" w:hAnsi="Verdana"/>
                <w:b w:val="0"/>
                <w:sz w:val="20"/>
                <w:szCs w:val="20"/>
                <w:lang w:val="pt-BR"/>
              </w:rPr>
              <w:t xml:space="preserve">em uma </w:t>
            </w:r>
            <w:r w:rsidRPr="00157AE3">
              <w:rPr>
                <w:rFonts w:ascii="Verdana" w:hAnsi="Verdana"/>
                <w:b w:val="0"/>
                <w:sz w:val="20"/>
                <w:szCs w:val="20"/>
                <w:lang w:val="pt-BR"/>
              </w:rPr>
              <w:t>certa flexibilidade procedimental.</w:t>
            </w:r>
          </w:p>
        </w:tc>
      </w:tr>
      <w:tr w:rsidR="00995CF3" w:rsidRPr="006F538F" w14:paraId="4872A72E" w14:textId="77777777" w:rsidTr="00051DB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000000" w:themeFill="text1"/>
          </w:tcPr>
          <w:p w14:paraId="35C7AE33" w14:textId="77777777" w:rsidR="00995CF3" w:rsidRPr="001B4EA4" w:rsidRDefault="00995CF3" w:rsidP="00E1329E">
            <w:pPr>
              <w:spacing w:line="276" w:lineRule="auto"/>
              <w:jc w:val="both"/>
              <w:rPr>
                <w:rFonts w:ascii="Verdana" w:hAnsi="Verdana"/>
                <w:b w:val="0"/>
                <w:sz w:val="20"/>
                <w:szCs w:val="20"/>
                <w:lang w:val="pt-BR"/>
              </w:rPr>
            </w:pPr>
          </w:p>
        </w:tc>
      </w:tr>
    </w:tbl>
    <w:p w14:paraId="7F34C3D9" w14:textId="77777777" w:rsidR="00B77231" w:rsidRPr="001B4EA4" w:rsidRDefault="00B77231" w:rsidP="001B4EA4">
      <w:pPr>
        <w:spacing w:before="160" w:line="276" w:lineRule="auto"/>
        <w:ind w:firstLine="709"/>
        <w:jc w:val="both"/>
        <w:rPr>
          <w:rFonts w:ascii="Verdana" w:hAnsi="Verdana"/>
          <w:i/>
          <w:sz w:val="20"/>
          <w:szCs w:val="20"/>
          <w:lang w:val="pt-BR"/>
        </w:rPr>
      </w:pPr>
    </w:p>
    <w:p w14:paraId="1AC535F1" w14:textId="0448EA4A" w:rsidR="0046499B" w:rsidRPr="001B4EA4" w:rsidRDefault="0046499B" w:rsidP="001B4EA4">
      <w:pPr>
        <w:spacing w:before="160" w:line="276" w:lineRule="auto"/>
        <w:ind w:firstLine="709"/>
        <w:jc w:val="both"/>
        <w:rPr>
          <w:rFonts w:ascii="Verdana" w:hAnsi="Verdana"/>
          <w:i/>
          <w:sz w:val="20"/>
          <w:szCs w:val="20"/>
          <w:lang w:val="pt-BR"/>
        </w:rPr>
      </w:pPr>
      <w:r w:rsidRPr="001B4EA4">
        <w:rPr>
          <w:rFonts w:ascii="Verdana" w:hAnsi="Verdana"/>
          <w:i/>
          <w:sz w:val="20"/>
          <w:szCs w:val="20"/>
          <w:lang w:val="pt-BR"/>
        </w:rPr>
        <w:t>Aplicação</w:t>
      </w:r>
    </w:p>
    <w:p w14:paraId="7E4ADDCB" w14:textId="4E59CDDE" w:rsidR="0024368B" w:rsidRPr="0024368B" w:rsidRDefault="0024368B" w:rsidP="001B4EA4">
      <w:pPr>
        <w:spacing w:line="276" w:lineRule="auto"/>
        <w:ind w:firstLine="708"/>
        <w:jc w:val="both"/>
        <w:rPr>
          <w:rFonts w:ascii="Verdana" w:hAnsi="Verdana"/>
          <w:bCs/>
          <w:sz w:val="20"/>
          <w:szCs w:val="20"/>
          <w:lang w:val="pt-BR"/>
        </w:rPr>
      </w:pPr>
      <w:r>
        <w:rPr>
          <w:rFonts w:ascii="Verdana" w:hAnsi="Verdana"/>
          <w:bCs/>
          <w:sz w:val="20"/>
          <w:szCs w:val="20"/>
          <w:lang w:val="pt-BR"/>
        </w:rPr>
        <w:t xml:space="preserve">Além da necessária interlocução entre os interessados, recomenda-se que </w:t>
      </w:r>
      <w:r w:rsidR="00252B73">
        <w:rPr>
          <w:rFonts w:ascii="Verdana" w:hAnsi="Verdana"/>
          <w:bCs/>
          <w:sz w:val="20"/>
          <w:szCs w:val="20"/>
          <w:lang w:val="pt-BR"/>
        </w:rPr>
        <w:t xml:space="preserve">o </w:t>
      </w:r>
      <w:r>
        <w:rPr>
          <w:rFonts w:ascii="Verdana" w:hAnsi="Verdana"/>
          <w:bCs/>
          <w:sz w:val="20"/>
          <w:szCs w:val="20"/>
          <w:lang w:val="pt-BR"/>
        </w:rPr>
        <w:t xml:space="preserve">procedimento </w:t>
      </w:r>
      <w:r w:rsidR="00252B73">
        <w:rPr>
          <w:rFonts w:ascii="Verdana" w:hAnsi="Verdana"/>
          <w:bCs/>
          <w:sz w:val="20"/>
          <w:szCs w:val="20"/>
          <w:lang w:val="pt-BR"/>
        </w:rPr>
        <w:t xml:space="preserve">de privatização </w:t>
      </w:r>
      <w:r w:rsidRPr="0024368B">
        <w:rPr>
          <w:rFonts w:ascii="Verdana" w:hAnsi="Verdana"/>
          <w:bCs/>
          <w:sz w:val="20"/>
          <w:szCs w:val="20"/>
          <w:lang w:val="pt-BR"/>
        </w:rPr>
        <w:t>permi</w:t>
      </w:r>
      <w:r>
        <w:rPr>
          <w:rFonts w:ascii="Verdana" w:hAnsi="Verdana"/>
          <w:bCs/>
          <w:sz w:val="20"/>
          <w:szCs w:val="20"/>
          <w:lang w:val="pt-BR"/>
        </w:rPr>
        <w:t>ta</w:t>
      </w:r>
      <w:r w:rsidRPr="0024368B">
        <w:rPr>
          <w:rFonts w:ascii="Verdana" w:hAnsi="Verdana"/>
          <w:bCs/>
          <w:sz w:val="20"/>
          <w:szCs w:val="20"/>
          <w:lang w:val="pt-BR"/>
        </w:rPr>
        <w:t xml:space="preserve"> uma margem de adaptação às necessidades específicas de cada caso concreto de modo a conferir</w:t>
      </w:r>
      <w:r w:rsidR="00252B73">
        <w:rPr>
          <w:rFonts w:ascii="Verdana" w:hAnsi="Verdana"/>
          <w:bCs/>
          <w:sz w:val="20"/>
          <w:szCs w:val="20"/>
          <w:lang w:val="pt-BR"/>
        </w:rPr>
        <w:t>-lhe</w:t>
      </w:r>
      <w:r w:rsidRPr="0024368B">
        <w:rPr>
          <w:rFonts w:ascii="Verdana" w:hAnsi="Verdana"/>
          <w:bCs/>
          <w:sz w:val="20"/>
          <w:szCs w:val="20"/>
          <w:lang w:val="pt-BR"/>
        </w:rPr>
        <w:t xml:space="preserve"> mais efetividade e celeridade</w:t>
      </w:r>
      <w:r w:rsidR="00252B73">
        <w:rPr>
          <w:rFonts w:ascii="Verdana" w:hAnsi="Verdana"/>
          <w:bCs/>
          <w:sz w:val="20"/>
          <w:szCs w:val="20"/>
          <w:lang w:val="pt-BR"/>
        </w:rPr>
        <w:t>, sempre obedecido o</w:t>
      </w:r>
      <w:r w:rsidR="008B0EF7">
        <w:rPr>
          <w:rFonts w:ascii="Verdana" w:hAnsi="Verdana"/>
          <w:bCs/>
          <w:sz w:val="20"/>
          <w:szCs w:val="20"/>
          <w:lang w:val="pt-BR"/>
        </w:rPr>
        <w:t>s</w:t>
      </w:r>
      <w:r w:rsidR="00252B73">
        <w:rPr>
          <w:rFonts w:ascii="Verdana" w:hAnsi="Verdana"/>
          <w:bCs/>
          <w:sz w:val="20"/>
          <w:szCs w:val="20"/>
          <w:lang w:val="pt-BR"/>
        </w:rPr>
        <w:t xml:space="preserve"> princípio</w:t>
      </w:r>
      <w:r w:rsidR="008B0EF7">
        <w:rPr>
          <w:rFonts w:ascii="Verdana" w:hAnsi="Verdana"/>
          <w:bCs/>
          <w:sz w:val="20"/>
          <w:szCs w:val="20"/>
          <w:lang w:val="pt-BR"/>
        </w:rPr>
        <w:t>s</w:t>
      </w:r>
      <w:r w:rsidR="00252B73">
        <w:rPr>
          <w:rFonts w:ascii="Verdana" w:hAnsi="Verdana"/>
          <w:bCs/>
          <w:sz w:val="20"/>
          <w:szCs w:val="20"/>
          <w:lang w:val="pt-BR"/>
        </w:rPr>
        <w:t xml:space="preserve"> da eficiência e da moralidade. </w:t>
      </w:r>
    </w:p>
    <w:p w14:paraId="2CB82534" w14:textId="6CD33952" w:rsidR="00940D72" w:rsidRPr="001B4EA4" w:rsidRDefault="00940D72" w:rsidP="001B4EA4">
      <w:pPr>
        <w:spacing w:line="276" w:lineRule="auto"/>
        <w:ind w:firstLine="708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 xml:space="preserve">Técnicas consensuais devem ser </w:t>
      </w:r>
      <w:r w:rsidR="0032073C" w:rsidRPr="001B4EA4">
        <w:rPr>
          <w:rFonts w:ascii="Verdana" w:hAnsi="Verdana"/>
          <w:sz w:val="20"/>
          <w:szCs w:val="20"/>
          <w:lang w:val="pt-BR"/>
        </w:rPr>
        <w:t>buscadas durante todo o processo</w:t>
      </w:r>
      <w:r w:rsidRPr="001B4EA4">
        <w:rPr>
          <w:rFonts w:ascii="Verdana" w:hAnsi="Verdana"/>
          <w:sz w:val="20"/>
          <w:szCs w:val="20"/>
          <w:lang w:val="pt-BR"/>
        </w:rPr>
        <w:t xml:space="preserve">, mesmo </w:t>
      </w:r>
      <w:r w:rsidR="0032073C" w:rsidRPr="001B4EA4">
        <w:rPr>
          <w:rFonts w:ascii="Verdana" w:hAnsi="Verdana"/>
          <w:sz w:val="20"/>
          <w:szCs w:val="20"/>
          <w:lang w:val="pt-BR"/>
        </w:rPr>
        <w:t>no</w:t>
      </w:r>
      <w:r w:rsidRPr="001B4EA4">
        <w:rPr>
          <w:rFonts w:ascii="Verdana" w:hAnsi="Verdana"/>
          <w:sz w:val="20"/>
          <w:szCs w:val="20"/>
          <w:lang w:val="pt-BR"/>
        </w:rPr>
        <w:t xml:space="preserve"> ambiente judicial. Os impactos sociais, econômicos, financeiros, reputacionais e jurídicos de uma longeva, custosa e incerta disputa judicial devem ser evitados.</w:t>
      </w:r>
    </w:p>
    <w:p w14:paraId="41D79AB1" w14:textId="47EB2945" w:rsidR="00065B0E" w:rsidRPr="001B4EA4" w:rsidRDefault="00845C3A" w:rsidP="001B4EA4">
      <w:pPr>
        <w:spacing w:line="276" w:lineRule="auto"/>
        <w:ind w:firstLine="708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>C</w:t>
      </w:r>
      <w:r w:rsidR="00B14F7B" w:rsidRPr="001B4EA4">
        <w:rPr>
          <w:rFonts w:ascii="Verdana" w:hAnsi="Verdana"/>
          <w:sz w:val="20"/>
          <w:szCs w:val="20"/>
          <w:lang w:val="pt-BR"/>
        </w:rPr>
        <w:t xml:space="preserve">onforme recomendado no item </w:t>
      </w:r>
      <w:r w:rsidR="00C1447C" w:rsidRPr="001B4EA4">
        <w:rPr>
          <w:rFonts w:ascii="Verdana" w:hAnsi="Verdana"/>
          <w:sz w:val="20"/>
          <w:szCs w:val="20"/>
          <w:lang w:val="pt-BR"/>
        </w:rPr>
        <w:t>“Estudos preparatórios” (fase “antes”)</w:t>
      </w:r>
      <w:r w:rsidR="00B14F7B" w:rsidRPr="001B4EA4">
        <w:rPr>
          <w:rFonts w:ascii="Verdana" w:hAnsi="Verdana"/>
          <w:sz w:val="20"/>
          <w:szCs w:val="20"/>
          <w:lang w:val="pt-BR"/>
        </w:rPr>
        <w:t>, considerando que o</w:t>
      </w:r>
      <w:r w:rsidR="00065B0E" w:rsidRPr="001B4EA4">
        <w:rPr>
          <w:rFonts w:ascii="Verdana" w:hAnsi="Verdana"/>
          <w:sz w:val="20"/>
          <w:szCs w:val="20"/>
          <w:lang w:val="pt-BR"/>
        </w:rPr>
        <w:t xml:space="preserve"> principal questionamento feito judicialmente tende a se</w:t>
      </w:r>
      <w:r w:rsidR="000133FF" w:rsidRPr="001B4EA4">
        <w:rPr>
          <w:rFonts w:ascii="Verdana" w:hAnsi="Verdana"/>
          <w:sz w:val="20"/>
          <w:szCs w:val="20"/>
          <w:lang w:val="pt-BR"/>
        </w:rPr>
        <w:t xml:space="preserve"> relacionar à</w:t>
      </w:r>
      <w:r w:rsidR="00065B0E" w:rsidRPr="001B4EA4">
        <w:rPr>
          <w:rFonts w:ascii="Verdana" w:hAnsi="Verdana"/>
          <w:sz w:val="20"/>
          <w:szCs w:val="20"/>
          <w:lang w:val="pt-BR"/>
        </w:rPr>
        <w:t xml:space="preserve"> justificativa e </w:t>
      </w:r>
      <w:r w:rsidR="000133FF" w:rsidRPr="001B4EA4">
        <w:rPr>
          <w:rFonts w:ascii="Verdana" w:hAnsi="Verdana"/>
          <w:sz w:val="20"/>
          <w:szCs w:val="20"/>
          <w:lang w:val="pt-BR"/>
        </w:rPr>
        <w:t>à</w:t>
      </w:r>
      <w:r w:rsidR="00065B0E" w:rsidRPr="001B4EA4">
        <w:rPr>
          <w:rFonts w:ascii="Verdana" w:hAnsi="Verdana"/>
          <w:sz w:val="20"/>
          <w:szCs w:val="20"/>
          <w:lang w:val="pt-BR"/>
        </w:rPr>
        <w:t xml:space="preserve"> motivação do processo de privatização, </w:t>
      </w:r>
      <w:r w:rsidR="00B14F7B" w:rsidRPr="001B4EA4">
        <w:rPr>
          <w:rFonts w:ascii="Verdana" w:hAnsi="Verdana"/>
          <w:sz w:val="20"/>
          <w:szCs w:val="20"/>
          <w:lang w:val="pt-BR"/>
        </w:rPr>
        <w:t xml:space="preserve">recomenda-se que o </w:t>
      </w:r>
      <w:r w:rsidR="00065B0E" w:rsidRPr="001B4EA4">
        <w:rPr>
          <w:rFonts w:ascii="Verdana" w:hAnsi="Verdana"/>
          <w:sz w:val="20"/>
          <w:szCs w:val="20"/>
          <w:lang w:val="pt-BR"/>
        </w:rPr>
        <w:t>propósito</w:t>
      </w:r>
      <w:r w:rsidR="00B14F7B" w:rsidRPr="001B4EA4">
        <w:rPr>
          <w:rFonts w:ascii="Verdana" w:hAnsi="Verdana"/>
          <w:sz w:val="20"/>
          <w:szCs w:val="20"/>
          <w:lang w:val="pt-BR"/>
        </w:rPr>
        <w:t xml:space="preserve"> e </w:t>
      </w:r>
      <w:r w:rsidR="000133FF" w:rsidRPr="001B4EA4">
        <w:rPr>
          <w:rFonts w:ascii="Verdana" w:hAnsi="Verdana"/>
          <w:sz w:val="20"/>
          <w:szCs w:val="20"/>
          <w:lang w:val="pt-BR"/>
        </w:rPr>
        <w:t xml:space="preserve">o </w:t>
      </w:r>
      <w:r w:rsidR="00B14F7B" w:rsidRPr="001B4EA4">
        <w:rPr>
          <w:rFonts w:ascii="Verdana" w:hAnsi="Verdana"/>
          <w:sz w:val="20"/>
          <w:szCs w:val="20"/>
          <w:lang w:val="pt-BR"/>
        </w:rPr>
        <w:t>fundamento d</w:t>
      </w:r>
      <w:r w:rsidR="00065B0E" w:rsidRPr="001B4EA4">
        <w:rPr>
          <w:rFonts w:ascii="Verdana" w:hAnsi="Verdana"/>
          <w:sz w:val="20"/>
          <w:szCs w:val="20"/>
          <w:lang w:val="pt-BR"/>
        </w:rPr>
        <w:t>a decisão</w:t>
      </w:r>
      <w:r w:rsidR="00B14F7B" w:rsidRPr="001B4EA4">
        <w:rPr>
          <w:rFonts w:ascii="Verdana" w:hAnsi="Verdana"/>
          <w:sz w:val="20"/>
          <w:szCs w:val="20"/>
          <w:lang w:val="pt-BR"/>
        </w:rPr>
        <w:t xml:space="preserve"> seja</w:t>
      </w:r>
      <w:r w:rsidR="000133FF" w:rsidRPr="001B4EA4">
        <w:rPr>
          <w:rFonts w:ascii="Verdana" w:hAnsi="Verdana"/>
          <w:sz w:val="20"/>
          <w:szCs w:val="20"/>
          <w:lang w:val="pt-BR"/>
        </w:rPr>
        <w:t>m</w:t>
      </w:r>
      <w:r w:rsidR="00B14F7B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="000133FF" w:rsidRPr="001B4EA4">
        <w:rPr>
          <w:rFonts w:ascii="Verdana" w:hAnsi="Verdana"/>
          <w:sz w:val="20"/>
          <w:szCs w:val="20"/>
          <w:lang w:val="pt-BR"/>
        </w:rPr>
        <w:t>estruturados</w:t>
      </w:r>
      <w:r w:rsidR="00B14F7B" w:rsidRPr="001B4EA4">
        <w:rPr>
          <w:rFonts w:ascii="Verdana" w:hAnsi="Verdana"/>
          <w:sz w:val="20"/>
          <w:szCs w:val="20"/>
          <w:lang w:val="pt-BR"/>
        </w:rPr>
        <w:t xml:space="preserve"> de forma</w:t>
      </w:r>
      <w:r w:rsidR="00065B0E" w:rsidRPr="001B4EA4">
        <w:rPr>
          <w:rFonts w:ascii="Verdana" w:hAnsi="Verdana"/>
          <w:sz w:val="20"/>
          <w:szCs w:val="20"/>
          <w:lang w:val="pt-BR"/>
        </w:rPr>
        <w:t xml:space="preserve"> objetiva </w:t>
      </w:r>
      <w:r w:rsidR="00B14F7B" w:rsidRPr="001B4EA4">
        <w:rPr>
          <w:rFonts w:ascii="Verdana" w:hAnsi="Verdana"/>
          <w:sz w:val="20"/>
          <w:szCs w:val="20"/>
          <w:lang w:val="pt-BR"/>
        </w:rPr>
        <w:t>e transparente</w:t>
      </w:r>
      <w:r w:rsidR="000133FF" w:rsidRPr="001B4EA4">
        <w:rPr>
          <w:rFonts w:ascii="Verdana" w:hAnsi="Verdana"/>
          <w:sz w:val="20"/>
          <w:szCs w:val="20"/>
          <w:lang w:val="pt-BR"/>
        </w:rPr>
        <w:t>,</w:t>
      </w:r>
      <w:r w:rsidR="00B14F7B" w:rsidRPr="001B4EA4">
        <w:rPr>
          <w:rFonts w:ascii="Verdana" w:hAnsi="Verdana"/>
          <w:sz w:val="20"/>
          <w:szCs w:val="20"/>
          <w:lang w:val="pt-BR"/>
        </w:rPr>
        <w:t xml:space="preserve"> para a</w:t>
      </w:r>
      <w:r w:rsidR="00065B0E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="00B14F7B" w:rsidRPr="001B4EA4">
        <w:rPr>
          <w:rFonts w:ascii="Verdana" w:hAnsi="Verdana"/>
          <w:sz w:val="20"/>
          <w:szCs w:val="20"/>
          <w:lang w:val="pt-BR"/>
        </w:rPr>
        <w:t xml:space="preserve">diminuição </w:t>
      </w:r>
      <w:r w:rsidR="00065B0E" w:rsidRPr="001B4EA4">
        <w:rPr>
          <w:rFonts w:ascii="Verdana" w:hAnsi="Verdana"/>
          <w:sz w:val="20"/>
          <w:szCs w:val="20"/>
          <w:lang w:val="pt-BR"/>
        </w:rPr>
        <w:t xml:space="preserve">de </w:t>
      </w:r>
      <w:r w:rsidR="00CF6B74" w:rsidRPr="001B4EA4">
        <w:rPr>
          <w:rFonts w:ascii="Verdana" w:hAnsi="Verdana"/>
          <w:sz w:val="20"/>
          <w:szCs w:val="20"/>
          <w:lang w:val="pt-BR"/>
        </w:rPr>
        <w:t>contestações</w:t>
      </w:r>
      <w:r w:rsidR="00B14F7B" w:rsidRPr="001B4EA4">
        <w:rPr>
          <w:rFonts w:ascii="Verdana" w:hAnsi="Verdana"/>
          <w:sz w:val="20"/>
          <w:szCs w:val="20"/>
          <w:lang w:val="pt-BR"/>
        </w:rPr>
        <w:t xml:space="preserve"> judiciais</w:t>
      </w:r>
      <w:r w:rsidR="00065B0E" w:rsidRPr="001B4EA4">
        <w:rPr>
          <w:rFonts w:ascii="Verdana" w:hAnsi="Verdana"/>
          <w:sz w:val="20"/>
          <w:szCs w:val="20"/>
          <w:lang w:val="pt-BR"/>
        </w:rPr>
        <w:t>.</w:t>
      </w:r>
      <w:r w:rsidR="00275ED3" w:rsidRPr="001B4EA4">
        <w:rPr>
          <w:rFonts w:ascii="Verdana" w:hAnsi="Verdana"/>
          <w:sz w:val="20"/>
          <w:szCs w:val="20"/>
          <w:lang w:val="pt-BR"/>
        </w:rPr>
        <w:t xml:space="preserve"> </w:t>
      </w:r>
    </w:p>
    <w:p w14:paraId="2A5CD5D6" w14:textId="652BEE89" w:rsidR="00EE72FF" w:rsidRPr="001B4EA4" w:rsidRDefault="00F24771" w:rsidP="001B4EA4">
      <w:pPr>
        <w:spacing w:line="276" w:lineRule="auto"/>
        <w:ind w:firstLine="708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>Caso haja a</w:t>
      </w:r>
      <w:r w:rsidR="00940D72" w:rsidRPr="001B4EA4">
        <w:rPr>
          <w:rFonts w:ascii="Verdana" w:hAnsi="Verdana"/>
          <w:sz w:val="20"/>
          <w:szCs w:val="20"/>
          <w:lang w:val="pt-BR"/>
        </w:rPr>
        <w:t xml:space="preserve"> judicialização</w:t>
      </w:r>
      <w:r w:rsidR="0083462F" w:rsidRPr="001B4EA4">
        <w:rPr>
          <w:rFonts w:ascii="Verdana" w:hAnsi="Verdana"/>
          <w:sz w:val="20"/>
          <w:szCs w:val="20"/>
          <w:lang w:val="pt-BR"/>
        </w:rPr>
        <w:t>, deve-se considerar que el</w:t>
      </w:r>
      <w:r w:rsidRPr="001B4EA4">
        <w:rPr>
          <w:rFonts w:ascii="Verdana" w:hAnsi="Verdana"/>
          <w:sz w:val="20"/>
          <w:szCs w:val="20"/>
          <w:lang w:val="pt-BR"/>
        </w:rPr>
        <w:t>a represent</w:t>
      </w:r>
      <w:r w:rsidR="00C2471D" w:rsidRPr="001B4EA4">
        <w:rPr>
          <w:rFonts w:ascii="Verdana" w:hAnsi="Verdana"/>
          <w:sz w:val="20"/>
          <w:szCs w:val="20"/>
          <w:lang w:val="pt-BR"/>
        </w:rPr>
        <w:t>a</w:t>
      </w:r>
      <w:r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="00940D72" w:rsidRPr="001B4EA4">
        <w:rPr>
          <w:rFonts w:ascii="Verdana" w:hAnsi="Verdana"/>
          <w:sz w:val="20"/>
          <w:szCs w:val="20"/>
          <w:lang w:val="pt-BR"/>
        </w:rPr>
        <w:t>um controle externo que deve</w:t>
      </w:r>
      <w:r w:rsidR="0032073C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="00940D72" w:rsidRPr="001B4EA4">
        <w:rPr>
          <w:rFonts w:ascii="Verdana" w:hAnsi="Verdana"/>
          <w:sz w:val="20"/>
          <w:szCs w:val="20"/>
          <w:lang w:val="pt-BR"/>
        </w:rPr>
        <w:t>ser feito sob o prisma da legalidade</w:t>
      </w:r>
      <w:r w:rsidR="0032073C" w:rsidRPr="001B4EA4">
        <w:rPr>
          <w:rFonts w:ascii="Verdana" w:hAnsi="Verdana"/>
          <w:sz w:val="20"/>
          <w:szCs w:val="20"/>
          <w:lang w:val="pt-BR"/>
        </w:rPr>
        <w:t xml:space="preserve">. O </w:t>
      </w:r>
      <w:r w:rsidR="00940D72" w:rsidRPr="001B4EA4">
        <w:rPr>
          <w:rFonts w:ascii="Verdana" w:hAnsi="Verdana"/>
          <w:sz w:val="20"/>
          <w:szCs w:val="20"/>
          <w:lang w:val="pt-BR"/>
        </w:rPr>
        <w:t xml:space="preserve">Poder Judiciário </w:t>
      </w:r>
      <w:r w:rsidR="0032073C" w:rsidRPr="001B4EA4">
        <w:rPr>
          <w:rFonts w:ascii="Verdana" w:hAnsi="Verdana"/>
          <w:sz w:val="20"/>
          <w:szCs w:val="20"/>
          <w:lang w:val="pt-BR"/>
        </w:rPr>
        <w:t xml:space="preserve">não deve </w:t>
      </w:r>
      <w:r w:rsidR="00940D72" w:rsidRPr="001B4EA4">
        <w:rPr>
          <w:rFonts w:ascii="Verdana" w:hAnsi="Verdana"/>
          <w:sz w:val="20"/>
          <w:szCs w:val="20"/>
          <w:lang w:val="pt-BR"/>
        </w:rPr>
        <w:t xml:space="preserve">questionar livremente </w:t>
      </w:r>
      <w:r w:rsidR="00232813" w:rsidRPr="001B4EA4">
        <w:rPr>
          <w:rFonts w:ascii="Verdana" w:hAnsi="Verdana"/>
          <w:sz w:val="20"/>
          <w:szCs w:val="20"/>
          <w:lang w:val="pt-BR"/>
        </w:rPr>
        <w:t>o mérito do ato administrativo, que representa</w:t>
      </w:r>
      <w:r w:rsidR="00A90707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="00232813" w:rsidRPr="001B4EA4">
        <w:rPr>
          <w:rFonts w:ascii="Verdana" w:hAnsi="Verdana"/>
          <w:sz w:val="20"/>
          <w:szCs w:val="20"/>
          <w:lang w:val="pt-BR"/>
        </w:rPr>
        <w:t xml:space="preserve">a análise de </w:t>
      </w:r>
      <w:r w:rsidR="00940D72" w:rsidRPr="001B4EA4">
        <w:rPr>
          <w:rFonts w:ascii="Verdana" w:hAnsi="Verdana"/>
          <w:sz w:val="20"/>
          <w:szCs w:val="20"/>
          <w:lang w:val="pt-BR"/>
        </w:rPr>
        <w:t>conveniência e oportunidade de</w:t>
      </w:r>
      <w:r w:rsidR="00DA219B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="00940D72" w:rsidRPr="001B4EA4">
        <w:rPr>
          <w:rFonts w:ascii="Verdana" w:hAnsi="Verdana"/>
          <w:sz w:val="20"/>
          <w:szCs w:val="20"/>
          <w:lang w:val="pt-BR"/>
        </w:rPr>
        <w:t>ato</w:t>
      </w:r>
      <w:r w:rsidR="00DA219B" w:rsidRPr="001B4EA4">
        <w:rPr>
          <w:rFonts w:ascii="Verdana" w:hAnsi="Verdana"/>
          <w:sz w:val="20"/>
          <w:szCs w:val="20"/>
          <w:lang w:val="pt-BR"/>
        </w:rPr>
        <w:t>s</w:t>
      </w:r>
      <w:r w:rsidR="00940D72" w:rsidRPr="001B4EA4">
        <w:rPr>
          <w:rFonts w:ascii="Verdana" w:hAnsi="Verdana"/>
          <w:sz w:val="20"/>
          <w:szCs w:val="20"/>
          <w:lang w:val="pt-BR"/>
        </w:rPr>
        <w:t xml:space="preserve"> proveniente</w:t>
      </w:r>
      <w:r w:rsidR="00DA219B" w:rsidRPr="001B4EA4">
        <w:rPr>
          <w:rFonts w:ascii="Verdana" w:hAnsi="Verdana"/>
          <w:sz w:val="20"/>
          <w:szCs w:val="20"/>
          <w:lang w:val="pt-BR"/>
        </w:rPr>
        <w:t>s</w:t>
      </w:r>
      <w:r w:rsidR="00940D72" w:rsidRPr="001B4EA4">
        <w:rPr>
          <w:rFonts w:ascii="Verdana" w:hAnsi="Verdana"/>
          <w:sz w:val="20"/>
          <w:szCs w:val="20"/>
          <w:lang w:val="pt-BR"/>
        </w:rPr>
        <w:t xml:space="preserve"> de outro </w:t>
      </w:r>
      <w:r w:rsidR="0083462F" w:rsidRPr="001B4EA4">
        <w:rPr>
          <w:rFonts w:ascii="Verdana" w:hAnsi="Verdana"/>
          <w:sz w:val="20"/>
          <w:szCs w:val="20"/>
          <w:lang w:val="pt-BR"/>
        </w:rPr>
        <w:t>p</w:t>
      </w:r>
      <w:r w:rsidR="00940D72" w:rsidRPr="001B4EA4">
        <w:rPr>
          <w:rFonts w:ascii="Verdana" w:hAnsi="Verdana"/>
          <w:sz w:val="20"/>
          <w:szCs w:val="20"/>
          <w:lang w:val="pt-BR"/>
        </w:rPr>
        <w:t>oder da República, em respeito ao princípio constitucional da separação de poderes</w:t>
      </w:r>
      <w:r w:rsidR="00EE72FF" w:rsidRPr="001B4EA4">
        <w:rPr>
          <w:rFonts w:ascii="Verdana" w:hAnsi="Verdana"/>
          <w:sz w:val="20"/>
          <w:szCs w:val="20"/>
          <w:lang w:val="pt-BR"/>
        </w:rPr>
        <w:t xml:space="preserve">. </w:t>
      </w:r>
    </w:p>
    <w:p w14:paraId="46843068" w14:textId="7AB93863" w:rsidR="00A90707" w:rsidRPr="001B4EA4" w:rsidRDefault="00F873C8" w:rsidP="001B4EA4">
      <w:pPr>
        <w:spacing w:line="276" w:lineRule="auto"/>
        <w:ind w:firstLine="708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>Portanto, o</w:t>
      </w:r>
      <w:r w:rsidR="008B21AC">
        <w:rPr>
          <w:rFonts w:ascii="Verdana" w:hAnsi="Verdana"/>
          <w:sz w:val="20"/>
          <w:szCs w:val="20"/>
          <w:lang w:val="pt-BR"/>
        </w:rPr>
        <w:t xml:space="preserve"> </w:t>
      </w:r>
      <w:r w:rsidR="00940D72" w:rsidRPr="001B4EA4">
        <w:rPr>
          <w:rFonts w:ascii="Verdana" w:hAnsi="Verdana"/>
          <w:sz w:val="20"/>
          <w:szCs w:val="20"/>
          <w:lang w:val="pt-BR"/>
        </w:rPr>
        <w:t xml:space="preserve">questionamento não </w:t>
      </w:r>
      <w:r w:rsidR="0036743B" w:rsidRPr="001B4EA4">
        <w:rPr>
          <w:rFonts w:ascii="Verdana" w:hAnsi="Verdana"/>
          <w:sz w:val="20"/>
          <w:szCs w:val="20"/>
          <w:lang w:val="pt-BR"/>
        </w:rPr>
        <w:t>deve ser direcionado a</w:t>
      </w:r>
      <w:r w:rsidR="00940D72" w:rsidRPr="001B4EA4">
        <w:rPr>
          <w:rFonts w:ascii="Verdana" w:hAnsi="Verdana"/>
          <w:sz w:val="20"/>
          <w:szCs w:val="20"/>
          <w:lang w:val="pt-BR"/>
        </w:rPr>
        <w:t xml:space="preserve"> um elemento de fato ou de ordem técnica não jurídica</w:t>
      </w:r>
      <w:r w:rsidR="00DA219B" w:rsidRPr="001B4EA4">
        <w:rPr>
          <w:rFonts w:ascii="Verdana" w:hAnsi="Verdana"/>
          <w:sz w:val="20"/>
          <w:szCs w:val="20"/>
          <w:lang w:val="pt-BR"/>
        </w:rPr>
        <w:t>.</w:t>
      </w:r>
      <w:r w:rsidR="00232813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="0083462F" w:rsidRPr="001B4EA4">
        <w:rPr>
          <w:rFonts w:ascii="Verdana" w:hAnsi="Verdana"/>
          <w:sz w:val="20"/>
          <w:szCs w:val="20"/>
          <w:lang w:val="pt-BR"/>
        </w:rPr>
        <w:t>Além disso</w:t>
      </w:r>
      <w:r w:rsidR="00CF6B74" w:rsidRPr="001B4EA4">
        <w:rPr>
          <w:rFonts w:ascii="Verdana" w:hAnsi="Verdana"/>
          <w:sz w:val="20"/>
          <w:szCs w:val="20"/>
          <w:lang w:val="pt-BR"/>
        </w:rPr>
        <w:t xml:space="preserve">, </w:t>
      </w:r>
      <w:r w:rsidR="00DA219B" w:rsidRPr="001B4EA4">
        <w:rPr>
          <w:rFonts w:ascii="Verdana" w:hAnsi="Verdana"/>
          <w:sz w:val="20"/>
          <w:szCs w:val="20"/>
          <w:lang w:val="pt-BR"/>
        </w:rPr>
        <w:t>deve ser</w:t>
      </w:r>
      <w:r w:rsidR="00940D72" w:rsidRPr="001B4EA4">
        <w:rPr>
          <w:rFonts w:ascii="Verdana" w:hAnsi="Verdana"/>
          <w:sz w:val="20"/>
          <w:szCs w:val="20"/>
          <w:lang w:val="pt-BR"/>
        </w:rPr>
        <w:t xml:space="preserve"> provocado por </w:t>
      </w:r>
      <w:r w:rsidR="00DA219B" w:rsidRPr="001B4EA4">
        <w:rPr>
          <w:rFonts w:ascii="Verdana" w:hAnsi="Verdana"/>
          <w:sz w:val="20"/>
          <w:szCs w:val="20"/>
          <w:lang w:val="pt-BR"/>
        </w:rPr>
        <w:t>agentes públicos que</w:t>
      </w:r>
      <w:r w:rsidR="00940D72" w:rsidRPr="001B4EA4">
        <w:rPr>
          <w:rFonts w:ascii="Verdana" w:hAnsi="Verdana"/>
          <w:sz w:val="20"/>
          <w:szCs w:val="20"/>
          <w:lang w:val="pt-BR"/>
        </w:rPr>
        <w:t xml:space="preserve"> tenha</w:t>
      </w:r>
      <w:r w:rsidR="00DA219B" w:rsidRPr="001B4EA4">
        <w:rPr>
          <w:rFonts w:ascii="Verdana" w:hAnsi="Verdana"/>
          <w:sz w:val="20"/>
          <w:szCs w:val="20"/>
          <w:lang w:val="pt-BR"/>
        </w:rPr>
        <w:t>m</w:t>
      </w:r>
      <w:r w:rsidR="00940D72" w:rsidRPr="001B4EA4">
        <w:rPr>
          <w:rFonts w:ascii="Verdana" w:hAnsi="Verdana"/>
          <w:sz w:val="20"/>
          <w:szCs w:val="20"/>
          <w:lang w:val="pt-BR"/>
        </w:rPr>
        <w:t xml:space="preserve"> legítimo interesse para tanto</w:t>
      </w:r>
      <w:r w:rsidR="0083462F" w:rsidRPr="001B4EA4">
        <w:rPr>
          <w:rFonts w:ascii="Verdana" w:hAnsi="Verdana"/>
          <w:sz w:val="20"/>
          <w:szCs w:val="20"/>
          <w:lang w:val="pt-BR"/>
        </w:rPr>
        <w:t xml:space="preserve"> (</w:t>
      </w:r>
      <w:r w:rsidR="00940D72" w:rsidRPr="001B4EA4">
        <w:rPr>
          <w:rFonts w:ascii="Verdana" w:hAnsi="Verdana"/>
          <w:sz w:val="20"/>
          <w:szCs w:val="20"/>
          <w:lang w:val="pt-BR"/>
        </w:rPr>
        <w:t>ou seja, não por iniciativa do próprio Judiciário</w:t>
      </w:r>
      <w:r w:rsidR="0083462F" w:rsidRPr="001B4EA4">
        <w:rPr>
          <w:rFonts w:ascii="Verdana" w:hAnsi="Verdana"/>
          <w:sz w:val="20"/>
          <w:szCs w:val="20"/>
          <w:lang w:val="pt-BR"/>
        </w:rPr>
        <w:t>)</w:t>
      </w:r>
      <w:r w:rsidR="00F24771" w:rsidRPr="001B4EA4">
        <w:rPr>
          <w:rFonts w:ascii="Verdana" w:hAnsi="Verdana"/>
          <w:sz w:val="20"/>
          <w:szCs w:val="20"/>
          <w:lang w:val="pt-BR"/>
        </w:rPr>
        <w:t xml:space="preserve"> e </w:t>
      </w:r>
      <w:r w:rsidR="00CF6B74" w:rsidRPr="001B4EA4">
        <w:rPr>
          <w:rFonts w:ascii="Verdana" w:hAnsi="Verdana"/>
          <w:sz w:val="20"/>
          <w:szCs w:val="20"/>
          <w:lang w:val="pt-BR"/>
        </w:rPr>
        <w:t>precisam</w:t>
      </w:r>
      <w:r w:rsidR="00F24771" w:rsidRPr="001B4EA4">
        <w:rPr>
          <w:rFonts w:ascii="Verdana" w:hAnsi="Verdana"/>
          <w:sz w:val="20"/>
          <w:szCs w:val="20"/>
          <w:lang w:val="pt-BR"/>
        </w:rPr>
        <w:t xml:space="preserve"> ficar claro</w:t>
      </w:r>
      <w:r w:rsidR="0083462F" w:rsidRPr="001B4EA4">
        <w:rPr>
          <w:rFonts w:ascii="Verdana" w:hAnsi="Verdana"/>
          <w:sz w:val="20"/>
          <w:szCs w:val="20"/>
          <w:lang w:val="pt-BR"/>
        </w:rPr>
        <w:t>s</w:t>
      </w:r>
      <w:r w:rsidR="00F24771" w:rsidRPr="001B4EA4">
        <w:rPr>
          <w:rFonts w:ascii="Verdana" w:hAnsi="Verdana"/>
          <w:sz w:val="20"/>
          <w:szCs w:val="20"/>
          <w:lang w:val="pt-BR"/>
        </w:rPr>
        <w:t xml:space="preserve"> o regime jurídico aplicável e o processo a ser observado</w:t>
      </w:r>
      <w:r w:rsidR="00940D72" w:rsidRPr="001B4EA4">
        <w:rPr>
          <w:rFonts w:ascii="Verdana" w:hAnsi="Verdana"/>
          <w:sz w:val="20"/>
          <w:szCs w:val="20"/>
          <w:lang w:val="pt-BR"/>
        </w:rPr>
        <w:t>.</w:t>
      </w:r>
    </w:p>
    <w:p w14:paraId="5841F26D" w14:textId="114A4550" w:rsidR="00A90707" w:rsidRPr="001B4EA4" w:rsidRDefault="00A90707" w:rsidP="001B4EA4">
      <w:pPr>
        <w:spacing w:line="276" w:lineRule="auto"/>
        <w:ind w:firstLine="708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>A atuação do Poder Judiciário deve ocorrer em situações de ilegalidade ou inconstitucionalidade, adotando</w:t>
      </w:r>
      <w:r w:rsidR="0083462F" w:rsidRPr="001B4EA4">
        <w:rPr>
          <w:rFonts w:ascii="Verdana" w:hAnsi="Verdana"/>
          <w:sz w:val="20"/>
          <w:szCs w:val="20"/>
          <w:lang w:val="pt-BR"/>
        </w:rPr>
        <w:t>-se</w:t>
      </w:r>
      <w:r w:rsidRPr="001B4EA4">
        <w:rPr>
          <w:rFonts w:ascii="Verdana" w:hAnsi="Verdana"/>
          <w:sz w:val="20"/>
          <w:szCs w:val="20"/>
          <w:lang w:val="pt-BR"/>
        </w:rPr>
        <w:t xml:space="preserve"> a presunção de razoabilidade e plausibilidade dos atos dos demais poderes.</w:t>
      </w:r>
      <w:r w:rsidR="00275ED3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Pr="001B4EA4">
        <w:rPr>
          <w:rFonts w:ascii="Verdana" w:hAnsi="Verdana"/>
          <w:sz w:val="20"/>
          <w:szCs w:val="20"/>
          <w:lang w:val="pt-BR"/>
        </w:rPr>
        <w:t>O Poder Judiciário pode excepcionalmente questionar o mérito administrativo quando atos do</w:t>
      </w:r>
      <w:r w:rsidR="0083462F" w:rsidRPr="001B4EA4">
        <w:rPr>
          <w:rFonts w:ascii="Verdana" w:hAnsi="Verdana"/>
          <w:sz w:val="20"/>
          <w:szCs w:val="20"/>
          <w:lang w:val="pt-BR"/>
        </w:rPr>
        <w:t>s</w:t>
      </w:r>
      <w:r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="0083462F" w:rsidRPr="001B4EA4">
        <w:rPr>
          <w:rFonts w:ascii="Verdana" w:hAnsi="Verdana"/>
          <w:sz w:val="20"/>
          <w:szCs w:val="20"/>
          <w:lang w:val="pt-BR"/>
        </w:rPr>
        <w:t>p</w:t>
      </w:r>
      <w:r w:rsidRPr="001B4EA4">
        <w:rPr>
          <w:rFonts w:ascii="Verdana" w:hAnsi="Verdana"/>
          <w:sz w:val="20"/>
          <w:szCs w:val="20"/>
          <w:lang w:val="pt-BR"/>
        </w:rPr>
        <w:t>oder</w:t>
      </w:r>
      <w:r w:rsidR="0083462F" w:rsidRPr="001B4EA4">
        <w:rPr>
          <w:rFonts w:ascii="Verdana" w:hAnsi="Verdana"/>
          <w:sz w:val="20"/>
          <w:szCs w:val="20"/>
          <w:lang w:val="pt-BR"/>
        </w:rPr>
        <w:t>es</w:t>
      </w:r>
      <w:r w:rsidRPr="001B4EA4">
        <w:rPr>
          <w:rFonts w:ascii="Verdana" w:hAnsi="Verdana"/>
          <w:sz w:val="20"/>
          <w:szCs w:val="20"/>
          <w:lang w:val="pt-BR"/>
        </w:rPr>
        <w:t xml:space="preserve"> Executivo ou Legislativo não </w:t>
      </w:r>
      <w:r w:rsidR="0083462F" w:rsidRPr="001B4EA4">
        <w:rPr>
          <w:rFonts w:ascii="Verdana" w:hAnsi="Verdana"/>
          <w:sz w:val="20"/>
          <w:szCs w:val="20"/>
          <w:lang w:val="pt-BR"/>
        </w:rPr>
        <w:t>forem</w:t>
      </w:r>
      <w:r w:rsidRPr="001B4EA4">
        <w:rPr>
          <w:rFonts w:ascii="Verdana" w:hAnsi="Verdana"/>
          <w:sz w:val="20"/>
          <w:szCs w:val="20"/>
          <w:lang w:val="pt-BR"/>
        </w:rPr>
        <w:t xml:space="preserve"> devidamente motivados, considerando que </w:t>
      </w:r>
      <w:r w:rsidR="00691759" w:rsidRPr="001B4EA4">
        <w:rPr>
          <w:rFonts w:ascii="Verdana" w:hAnsi="Verdana"/>
          <w:sz w:val="20"/>
          <w:szCs w:val="20"/>
          <w:lang w:val="pt-BR"/>
        </w:rPr>
        <w:t>este</w:t>
      </w:r>
      <w:r w:rsidRPr="001B4EA4">
        <w:rPr>
          <w:rFonts w:ascii="Verdana" w:hAnsi="Verdana"/>
          <w:sz w:val="20"/>
          <w:szCs w:val="20"/>
          <w:lang w:val="pt-BR"/>
        </w:rPr>
        <w:t xml:space="preserve"> é um dos requisitos legais para o ato em si. </w:t>
      </w:r>
    </w:p>
    <w:p w14:paraId="55505645" w14:textId="1374967E" w:rsidR="00232813" w:rsidRPr="001B4EA4" w:rsidRDefault="00940D72" w:rsidP="001B4EA4">
      <w:pPr>
        <w:spacing w:line="276" w:lineRule="auto"/>
        <w:ind w:firstLine="708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>Ainda nas excepcionais hipóteses em que venha a intervir, o Poder Judiciário deve</w:t>
      </w:r>
      <w:r w:rsidR="001B0007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Pr="001B4EA4">
        <w:rPr>
          <w:rFonts w:ascii="Verdana" w:hAnsi="Verdana"/>
          <w:sz w:val="20"/>
          <w:szCs w:val="20"/>
          <w:lang w:val="pt-BR"/>
        </w:rPr>
        <w:t xml:space="preserve">adotar uma postura </w:t>
      </w:r>
      <w:r w:rsidR="001B0007" w:rsidRPr="001B4EA4">
        <w:rPr>
          <w:rFonts w:ascii="Verdana" w:hAnsi="Verdana"/>
          <w:sz w:val="20"/>
          <w:szCs w:val="20"/>
          <w:lang w:val="pt-BR"/>
        </w:rPr>
        <w:t>equilibrada</w:t>
      </w:r>
      <w:r w:rsidR="00D428D3" w:rsidRPr="001B4EA4">
        <w:rPr>
          <w:rFonts w:ascii="Verdana" w:hAnsi="Verdana"/>
          <w:sz w:val="20"/>
          <w:szCs w:val="20"/>
          <w:lang w:val="pt-BR"/>
        </w:rPr>
        <w:t>, já esperada de sua natureza</w:t>
      </w:r>
      <w:r w:rsidR="00232813" w:rsidRPr="001B4EA4">
        <w:rPr>
          <w:rFonts w:ascii="Verdana" w:hAnsi="Verdana"/>
          <w:sz w:val="20"/>
          <w:szCs w:val="20"/>
          <w:lang w:val="pt-BR"/>
        </w:rPr>
        <w:t xml:space="preserve">. Considerando que sua atuação está adstrita ao momento seguinte ao </w:t>
      </w:r>
      <w:r w:rsidRPr="001B4EA4">
        <w:rPr>
          <w:rFonts w:ascii="Verdana" w:hAnsi="Verdana"/>
          <w:sz w:val="20"/>
          <w:szCs w:val="20"/>
          <w:lang w:val="pt-BR"/>
        </w:rPr>
        <w:t xml:space="preserve">ato administrativo, </w:t>
      </w:r>
      <w:r w:rsidR="00232813" w:rsidRPr="001B4EA4">
        <w:rPr>
          <w:rFonts w:ascii="Verdana" w:hAnsi="Verdana"/>
          <w:sz w:val="20"/>
          <w:szCs w:val="20"/>
          <w:lang w:val="pt-BR"/>
        </w:rPr>
        <w:t xml:space="preserve">a análise superficial pode não evidenciar </w:t>
      </w:r>
      <w:r w:rsidRPr="001B4EA4">
        <w:rPr>
          <w:rFonts w:ascii="Verdana" w:hAnsi="Verdana"/>
          <w:sz w:val="20"/>
          <w:szCs w:val="20"/>
          <w:lang w:val="pt-BR"/>
        </w:rPr>
        <w:t xml:space="preserve">os elementos técnicos </w:t>
      </w:r>
      <w:r w:rsidR="00431CC4" w:rsidRPr="001B4EA4">
        <w:rPr>
          <w:rFonts w:ascii="Verdana" w:hAnsi="Verdana"/>
          <w:sz w:val="20"/>
          <w:szCs w:val="20"/>
          <w:lang w:val="pt-BR"/>
        </w:rPr>
        <w:t>que levaram</w:t>
      </w:r>
      <w:r w:rsidRPr="001B4EA4">
        <w:rPr>
          <w:rFonts w:ascii="Verdana" w:hAnsi="Verdana"/>
          <w:sz w:val="20"/>
          <w:szCs w:val="20"/>
          <w:lang w:val="pt-BR"/>
        </w:rPr>
        <w:t xml:space="preserve"> à tomada d</w:t>
      </w:r>
      <w:r w:rsidR="0083462F" w:rsidRPr="001B4EA4">
        <w:rPr>
          <w:rFonts w:ascii="Verdana" w:hAnsi="Verdana"/>
          <w:sz w:val="20"/>
          <w:szCs w:val="20"/>
          <w:lang w:val="pt-BR"/>
        </w:rPr>
        <w:t>a</w:t>
      </w:r>
      <w:r w:rsidRPr="001B4EA4">
        <w:rPr>
          <w:rFonts w:ascii="Verdana" w:hAnsi="Verdana"/>
          <w:sz w:val="20"/>
          <w:szCs w:val="20"/>
          <w:lang w:val="pt-BR"/>
        </w:rPr>
        <w:t xml:space="preserve"> decisão </w:t>
      </w:r>
      <w:r w:rsidR="00431CC4" w:rsidRPr="001B4EA4">
        <w:rPr>
          <w:rFonts w:ascii="Verdana" w:hAnsi="Verdana"/>
          <w:sz w:val="20"/>
          <w:szCs w:val="20"/>
          <w:lang w:val="pt-BR"/>
        </w:rPr>
        <w:t>questionada</w:t>
      </w:r>
      <w:r w:rsidRPr="001B4EA4">
        <w:rPr>
          <w:rFonts w:ascii="Verdana" w:hAnsi="Verdana"/>
          <w:sz w:val="20"/>
          <w:szCs w:val="20"/>
          <w:lang w:val="pt-BR"/>
        </w:rPr>
        <w:t xml:space="preserve">. </w:t>
      </w:r>
      <w:r w:rsidR="00A90707" w:rsidRPr="001B4EA4">
        <w:rPr>
          <w:rFonts w:ascii="Verdana" w:hAnsi="Verdana"/>
          <w:sz w:val="20"/>
          <w:szCs w:val="20"/>
          <w:lang w:val="pt-BR"/>
        </w:rPr>
        <w:t>O exame da legalidade interna no caso concreto, que verifica o motivo e a finalidade do ato administrativo, deve ser feito de forma cautelosa.</w:t>
      </w:r>
    </w:p>
    <w:p w14:paraId="5A280220" w14:textId="5DEE2661" w:rsidR="00940D72" w:rsidRPr="001B4EA4" w:rsidRDefault="00940D72" w:rsidP="001B4EA4">
      <w:pPr>
        <w:spacing w:line="276" w:lineRule="auto"/>
        <w:ind w:firstLine="708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 xml:space="preserve"> Por fim, questionamentos judiciais podem advir de fiscalizações originadas no</w:t>
      </w:r>
      <w:r w:rsidR="001D781A" w:rsidRPr="001B4EA4">
        <w:rPr>
          <w:rFonts w:ascii="Verdana" w:hAnsi="Verdana"/>
          <w:sz w:val="20"/>
          <w:szCs w:val="20"/>
          <w:lang w:val="pt-BR"/>
        </w:rPr>
        <w:t>s</w:t>
      </w:r>
      <w:r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="003D0D56" w:rsidRPr="001B4EA4">
        <w:rPr>
          <w:rFonts w:ascii="Verdana" w:hAnsi="Verdana"/>
          <w:sz w:val="20"/>
          <w:szCs w:val="20"/>
          <w:lang w:val="pt-BR"/>
        </w:rPr>
        <w:t>tribunais de contas,</w:t>
      </w:r>
      <w:r w:rsidRPr="001B4EA4">
        <w:rPr>
          <w:rFonts w:ascii="Verdana" w:hAnsi="Verdana"/>
          <w:sz w:val="20"/>
          <w:szCs w:val="20"/>
          <w:lang w:val="pt-BR"/>
        </w:rPr>
        <w:t xml:space="preserve"> que </w:t>
      </w:r>
      <w:r w:rsidR="0083462F" w:rsidRPr="001B4EA4">
        <w:rPr>
          <w:rFonts w:ascii="Verdana" w:hAnsi="Verdana"/>
          <w:sz w:val="20"/>
          <w:szCs w:val="20"/>
          <w:lang w:val="pt-BR"/>
        </w:rPr>
        <w:t>têm</w:t>
      </w:r>
      <w:r w:rsidRPr="001B4EA4">
        <w:rPr>
          <w:rFonts w:ascii="Verdana" w:hAnsi="Verdana"/>
          <w:sz w:val="20"/>
          <w:szCs w:val="20"/>
          <w:lang w:val="pt-BR"/>
        </w:rPr>
        <w:t xml:space="preserve"> competência para exercer controle de legitimidade, razoabilidade, economicidade, eficácia e legalidade sobre os processos de privatização.</w:t>
      </w:r>
      <w:r w:rsidR="00275ED3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="00A90707" w:rsidRPr="001B4EA4">
        <w:rPr>
          <w:rFonts w:ascii="Verdana" w:hAnsi="Verdana"/>
          <w:sz w:val="20"/>
          <w:szCs w:val="20"/>
          <w:lang w:val="pt-BR"/>
        </w:rPr>
        <w:t xml:space="preserve">Tendo em conta sua atuação </w:t>
      </w:r>
      <w:r w:rsidRPr="001B4EA4">
        <w:rPr>
          <w:rFonts w:ascii="Verdana" w:hAnsi="Verdana"/>
          <w:sz w:val="20"/>
          <w:szCs w:val="20"/>
          <w:lang w:val="pt-BR"/>
        </w:rPr>
        <w:t>mais abrangente,</w:t>
      </w:r>
      <w:r w:rsidR="00A90707" w:rsidRPr="001B4EA4">
        <w:rPr>
          <w:rFonts w:ascii="Verdana" w:hAnsi="Verdana"/>
          <w:sz w:val="20"/>
          <w:szCs w:val="20"/>
          <w:lang w:val="pt-BR"/>
        </w:rPr>
        <w:t xml:space="preserve"> o</w:t>
      </w:r>
      <w:r w:rsidR="001D781A" w:rsidRPr="001B4EA4">
        <w:rPr>
          <w:rFonts w:ascii="Verdana" w:hAnsi="Verdana"/>
          <w:sz w:val="20"/>
          <w:szCs w:val="20"/>
          <w:lang w:val="pt-BR"/>
        </w:rPr>
        <w:t>s</w:t>
      </w:r>
      <w:r w:rsidR="00A90707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="001415B2" w:rsidRPr="001B4EA4">
        <w:rPr>
          <w:rFonts w:ascii="Verdana" w:hAnsi="Verdana"/>
          <w:sz w:val="20"/>
          <w:szCs w:val="20"/>
          <w:lang w:val="pt-BR"/>
        </w:rPr>
        <w:t>t</w:t>
      </w:r>
      <w:r w:rsidR="00A90707" w:rsidRPr="001B4EA4">
        <w:rPr>
          <w:rFonts w:ascii="Verdana" w:hAnsi="Verdana"/>
          <w:sz w:val="20"/>
          <w:szCs w:val="20"/>
          <w:lang w:val="pt-BR"/>
        </w:rPr>
        <w:t>ribuna</w:t>
      </w:r>
      <w:r w:rsidR="001D781A" w:rsidRPr="001B4EA4">
        <w:rPr>
          <w:rFonts w:ascii="Verdana" w:hAnsi="Verdana"/>
          <w:sz w:val="20"/>
          <w:szCs w:val="20"/>
          <w:lang w:val="pt-BR"/>
        </w:rPr>
        <w:t>is</w:t>
      </w:r>
      <w:r w:rsidR="00A90707" w:rsidRPr="001B4EA4">
        <w:rPr>
          <w:rFonts w:ascii="Verdana" w:hAnsi="Verdana"/>
          <w:sz w:val="20"/>
          <w:szCs w:val="20"/>
          <w:lang w:val="pt-BR"/>
        </w:rPr>
        <w:t xml:space="preserve"> de </w:t>
      </w:r>
      <w:r w:rsidR="001415B2" w:rsidRPr="001B4EA4">
        <w:rPr>
          <w:rFonts w:ascii="Verdana" w:hAnsi="Verdana"/>
          <w:sz w:val="20"/>
          <w:szCs w:val="20"/>
          <w:lang w:val="pt-BR"/>
        </w:rPr>
        <w:t>co</w:t>
      </w:r>
      <w:r w:rsidR="00A90707" w:rsidRPr="001B4EA4">
        <w:rPr>
          <w:rFonts w:ascii="Verdana" w:hAnsi="Verdana"/>
          <w:sz w:val="20"/>
          <w:szCs w:val="20"/>
          <w:lang w:val="pt-BR"/>
        </w:rPr>
        <w:t>ntas</w:t>
      </w:r>
      <w:r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="001D781A" w:rsidRPr="001B4EA4">
        <w:rPr>
          <w:rFonts w:ascii="Verdana" w:hAnsi="Verdana"/>
          <w:sz w:val="20"/>
          <w:szCs w:val="20"/>
          <w:lang w:val="pt-BR"/>
        </w:rPr>
        <w:t xml:space="preserve">são </w:t>
      </w:r>
      <w:r w:rsidR="00E11092" w:rsidRPr="001B4EA4">
        <w:rPr>
          <w:rFonts w:ascii="Verdana" w:hAnsi="Verdana"/>
          <w:sz w:val="20"/>
          <w:szCs w:val="20"/>
          <w:lang w:val="pt-BR"/>
        </w:rPr>
        <w:t>ente</w:t>
      </w:r>
      <w:r w:rsidR="001D781A" w:rsidRPr="001B4EA4">
        <w:rPr>
          <w:rFonts w:ascii="Verdana" w:hAnsi="Verdana"/>
          <w:sz w:val="20"/>
          <w:szCs w:val="20"/>
          <w:lang w:val="pt-BR"/>
        </w:rPr>
        <w:t>s</w:t>
      </w:r>
      <w:r w:rsidR="00E11092" w:rsidRPr="001B4EA4">
        <w:rPr>
          <w:rFonts w:ascii="Verdana" w:hAnsi="Verdana"/>
          <w:sz w:val="20"/>
          <w:szCs w:val="20"/>
          <w:lang w:val="pt-BR"/>
        </w:rPr>
        <w:t xml:space="preserve"> legítimo</w:t>
      </w:r>
      <w:r w:rsidR="001D781A" w:rsidRPr="001B4EA4">
        <w:rPr>
          <w:rFonts w:ascii="Verdana" w:hAnsi="Verdana"/>
          <w:sz w:val="20"/>
          <w:szCs w:val="20"/>
          <w:lang w:val="pt-BR"/>
        </w:rPr>
        <w:t>s</w:t>
      </w:r>
      <w:r w:rsidR="00E11092" w:rsidRPr="001B4EA4">
        <w:rPr>
          <w:rFonts w:ascii="Verdana" w:hAnsi="Verdana"/>
          <w:sz w:val="20"/>
          <w:szCs w:val="20"/>
          <w:lang w:val="pt-BR"/>
        </w:rPr>
        <w:t xml:space="preserve"> para</w:t>
      </w:r>
      <w:r w:rsidRPr="001B4EA4">
        <w:rPr>
          <w:rFonts w:ascii="Verdana" w:hAnsi="Verdana"/>
          <w:sz w:val="20"/>
          <w:szCs w:val="20"/>
          <w:lang w:val="pt-BR"/>
        </w:rPr>
        <w:t xml:space="preserve"> avaliar os resultados obtidos pelo agente estatal quanto à eficácia da aplicação dos recursos públicos</w:t>
      </w:r>
      <w:r w:rsidR="00A90707" w:rsidRPr="001B4EA4">
        <w:rPr>
          <w:rFonts w:ascii="Verdana" w:hAnsi="Verdana"/>
          <w:sz w:val="20"/>
          <w:szCs w:val="20"/>
          <w:lang w:val="pt-BR"/>
        </w:rPr>
        <w:t>.</w:t>
      </w:r>
    </w:p>
    <w:p w14:paraId="72683830" w14:textId="77777777" w:rsidR="00DE6CF4" w:rsidRPr="001B4EA4" w:rsidRDefault="00DE6CF4" w:rsidP="001B4EA4">
      <w:pPr>
        <w:spacing w:line="276" w:lineRule="auto"/>
        <w:ind w:firstLine="708"/>
        <w:jc w:val="both"/>
        <w:rPr>
          <w:rFonts w:ascii="Verdana" w:hAnsi="Verdana"/>
          <w:sz w:val="20"/>
          <w:szCs w:val="20"/>
          <w:lang w:val="pt-BR"/>
        </w:rPr>
      </w:pPr>
    </w:p>
    <w:p w14:paraId="4BE658B8" w14:textId="65134940" w:rsidR="00727495" w:rsidRPr="00215482" w:rsidRDefault="00727495" w:rsidP="007135F8">
      <w:pPr>
        <w:pStyle w:val="Ttulo2"/>
        <w:numPr>
          <w:ilvl w:val="1"/>
          <w:numId w:val="13"/>
        </w:numPr>
        <w:spacing w:line="276" w:lineRule="auto"/>
        <w:contextualSpacing/>
        <w:jc w:val="both"/>
        <w:rPr>
          <w:rFonts w:ascii="Verdana" w:hAnsi="Verdana"/>
          <w:b/>
          <w:sz w:val="20"/>
          <w:szCs w:val="20"/>
          <w:lang w:val="pt-BR"/>
        </w:rPr>
      </w:pPr>
      <w:bookmarkStart w:id="34" w:name="_Toc20752239"/>
      <w:r w:rsidRPr="00215482">
        <w:rPr>
          <w:rFonts w:ascii="Verdana" w:hAnsi="Verdana"/>
          <w:b/>
          <w:sz w:val="20"/>
          <w:szCs w:val="20"/>
          <w:lang w:val="pt-BR"/>
        </w:rPr>
        <w:t>Depois</w:t>
      </w:r>
      <w:r w:rsidR="00C81F08" w:rsidRPr="00215482">
        <w:rPr>
          <w:rFonts w:ascii="Verdana" w:hAnsi="Verdana"/>
          <w:b/>
          <w:sz w:val="20"/>
          <w:szCs w:val="20"/>
          <w:lang w:val="pt-BR"/>
        </w:rPr>
        <w:t xml:space="preserve"> da transação</w:t>
      </w:r>
      <w:bookmarkEnd w:id="34"/>
    </w:p>
    <w:p w14:paraId="346EDD5A" w14:textId="77777777" w:rsidR="00CF6B74" w:rsidRPr="001B4EA4" w:rsidRDefault="00CF6B74" w:rsidP="00E1329E">
      <w:pPr>
        <w:spacing w:line="276" w:lineRule="auto"/>
        <w:rPr>
          <w:rFonts w:ascii="Verdana" w:hAnsi="Verdana"/>
          <w:sz w:val="20"/>
          <w:szCs w:val="20"/>
          <w:lang w:val="pt-BR"/>
        </w:rPr>
      </w:pPr>
      <w:bookmarkStart w:id="35" w:name="_Ref14713624"/>
    </w:p>
    <w:p w14:paraId="5EE6758A" w14:textId="6D8EDD18" w:rsidR="00727495" w:rsidRPr="00215482" w:rsidRDefault="001B4EA4" w:rsidP="00E1329E">
      <w:pPr>
        <w:pStyle w:val="Ttulo3"/>
        <w:spacing w:line="276" w:lineRule="auto"/>
        <w:jc w:val="both"/>
        <w:rPr>
          <w:rFonts w:ascii="Verdana" w:hAnsi="Verdana"/>
          <w:b/>
          <w:sz w:val="20"/>
          <w:szCs w:val="20"/>
          <w:lang w:val="pt-BR"/>
        </w:rPr>
      </w:pPr>
      <w:bookmarkStart w:id="36" w:name="_Toc20752240"/>
      <w:r w:rsidRPr="00215482">
        <w:rPr>
          <w:rFonts w:ascii="Verdana" w:hAnsi="Verdana"/>
          <w:b/>
          <w:sz w:val="20"/>
          <w:szCs w:val="20"/>
          <w:lang w:val="pt-BR"/>
        </w:rPr>
        <w:t xml:space="preserve">3.1 </w:t>
      </w:r>
      <w:r w:rsidR="00AB523A" w:rsidRPr="00215482">
        <w:rPr>
          <w:rFonts w:ascii="Verdana" w:hAnsi="Verdana"/>
          <w:b/>
          <w:sz w:val="20"/>
          <w:szCs w:val="20"/>
          <w:lang w:val="pt-BR"/>
        </w:rPr>
        <w:t>Monitoramento</w:t>
      </w:r>
      <w:r w:rsidR="000D2A80" w:rsidRPr="00215482">
        <w:rPr>
          <w:rFonts w:ascii="Verdana" w:hAnsi="Verdana"/>
          <w:b/>
          <w:sz w:val="20"/>
          <w:szCs w:val="20"/>
          <w:lang w:val="pt-BR"/>
        </w:rPr>
        <w:t xml:space="preserve"> dos objetivos sociais</w:t>
      </w:r>
      <w:bookmarkEnd w:id="35"/>
      <w:bookmarkEnd w:id="36"/>
    </w:p>
    <w:p w14:paraId="3D39EDE5" w14:textId="77777777" w:rsidR="00DE6CF4" w:rsidRPr="001B4EA4" w:rsidRDefault="00DE6CF4" w:rsidP="001B4EA4">
      <w:pPr>
        <w:spacing w:line="276" w:lineRule="auto"/>
        <w:ind w:firstLine="708"/>
        <w:jc w:val="both"/>
        <w:rPr>
          <w:rFonts w:ascii="Verdana" w:hAnsi="Verdana"/>
          <w:sz w:val="20"/>
          <w:szCs w:val="20"/>
          <w:lang w:val="pt-BR"/>
        </w:rPr>
      </w:pPr>
    </w:p>
    <w:p w14:paraId="6B05957D" w14:textId="2B4A4C22" w:rsidR="00F1572A" w:rsidRPr="001B4EA4" w:rsidRDefault="00060AD3" w:rsidP="001B4EA4">
      <w:pPr>
        <w:spacing w:line="276" w:lineRule="auto"/>
        <w:ind w:firstLine="708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>N</w:t>
      </w:r>
      <w:r w:rsidR="009358B8" w:rsidRPr="001B4EA4">
        <w:rPr>
          <w:rFonts w:ascii="Verdana" w:hAnsi="Verdana"/>
          <w:sz w:val="20"/>
          <w:szCs w:val="20"/>
          <w:lang w:val="pt-BR"/>
        </w:rPr>
        <w:t xml:space="preserve">a privatização de empresas que exercem atividades de interesse público, </w:t>
      </w:r>
      <w:r w:rsidR="00BC1B1D" w:rsidRPr="001B4EA4">
        <w:rPr>
          <w:rFonts w:ascii="Verdana" w:hAnsi="Verdana"/>
          <w:sz w:val="20"/>
          <w:szCs w:val="20"/>
          <w:lang w:val="pt-BR"/>
        </w:rPr>
        <w:t xml:space="preserve">existe </w:t>
      </w:r>
      <w:r w:rsidR="009358B8" w:rsidRPr="001B4EA4">
        <w:rPr>
          <w:rFonts w:ascii="Verdana" w:hAnsi="Verdana"/>
          <w:sz w:val="20"/>
          <w:szCs w:val="20"/>
          <w:lang w:val="pt-BR"/>
        </w:rPr>
        <w:t>o risco significativo de que o setor privado não incorpore a execução des</w:t>
      </w:r>
      <w:r w:rsidR="0083462F" w:rsidRPr="001B4EA4">
        <w:rPr>
          <w:rFonts w:ascii="Verdana" w:hAnsi="Verdana"/>
          <w:sz w:val="20"/>
          <w:szCs w:val="20"/>
          <w:lang w:val="pt-BR"/>
        </w:rPr>
        <w:t>s</w:t>
      </w:r>
      <w:r w:rsidR="009358B8" w:rsidRPr="001B4EA4">
        <w:rPr>
          <w:rFonts w:ascii="Verdana" w:hAnsi="Verdana"/>
          <w:sz w:val="20"/>
          <w:szCs w:val="20"/>
          <w:lang w:val="pt-BR"/>
        </w:rPr>
        <w:t>as atividades</w:t>
      </w:r>
      <w:r w:rsidR="00F05D15" w:rsidRPr="001B4EA4">
        <w:rPr>
          <w:rFonts w:ascii="Verdana" w:hAnsi="Verdana"/>
          <w:sz w:val="20"/>
          <w:szCs w:val="20"/>
          <w:lang w:val="pt-BR"/>
        </w:rPr>
        <w:t xml:space="preserve"> de forma voluntária</w:t>
      </w:r>
      <w:r w:rsidR="00020A0E" w:rsidRPr="001B4EA4">
        <w:rPr>
          <w:rFonts w:ascii="Verdana" w:hAnsi="Verdana"/>
          <w:sz w:val="20"/>
          <w:szCs w:val="20"/>
          <w:lang w:val="pt-BR"/>
        </w:rPr>
        <w:t xml:space="preserve"> ou negligencie a qualidade de sua execução</w:t>
      </w:r>
      <w:r w:rsidR="009358B8" w:rsidRPr="001B4EA4">
        <w:rPr>
          <w:rFonts w:ascii="Verdana" w:hAnsi="Verdana"/>
          <w:sz w:val="20"/>
          <w:szCs w:val="20"/>
          <w:lang w:val="pt-BR"/>
        </w:rPr>
        <w:t>.</w:t>
      </w:r>
      <w:r w:rsidR="00F05D15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Pr="001B4EA4">
        <w:rPr>
          <w:rFonts w:ascii="Verdana" w:hAnsi="Verdana"/>
          <w:sz w:val="20"/>
          <w:szCs w:val="20"/>
          <w:lang w:val="pt-BR"/>
        </w:rPr>
        <w:t xml:space="preserve">Conforme a reflexão proposta no item </w:t>
      </w:r>
      <w:r w:rsidR="00C1447C" w:rsidRPr="001B4EA4">
        <w:rPr>
          <w:rFonts w:ascii="Verdana" w:hAnsi="Verdana"/>
          <w:sz w:val="20"/>
          <w:szCs w:val="20"/>
          <w:lang w:val="pt-BR"/>
        </w:rPr>
        <w:t>“Tomada de decisão de privatização” (fase “antes”)</w:t>
      </w:r>
      <w:r w:rsidRPr="001B4EA4">
        <w:rPr>
          <w:rFonts w:ascii="Verdana" w:hAnsi="Verdana"/>
          <w:sz w:val="20"/>
          <w:szCs w:val="20"/>
          <w:lang w:val="pt-BR"/>
        </w:rPr>
        <w:t>, diante do</w:t>
      </w:r>
      <w:r w:rsidR="00F05D15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Pr="001B4EA4">
        <w:rPr>
          <w:rFonts w:ascii="Verdana" w:hAnsi="Verdana"/>
          <w:sz w:val="20"/>
          <w:szCs w:val="20"/>
          <w:lang w:val="pt-BR"/>
        </w:rPr>
        <w:t xml:space="preserve">importante impacto </w:t>
      </w:r>
      <w:r w:rsidR="00415B9C" w:rsidRPr="001B4EA4">
        <w:rPr>
          <w:rFonts w:ascii="Verdana" w:hAnsi="Verdana"/>
          <w:sz w:val="20"/>
          <w:szCs w:val="20"/>
          <w:lang w:val="pt-BR"/>
        </w:rPr>
        <w:t xml:space="preserve">na garantia de direitos </w:t>
      </w:r>
      <w:r w:rsidRPr="001B4EA4">
        <w:rPr>
          <w:rFonts w:ascii="Verdana" w:hAnsi="Verdana"/>
          <w:sz w:val="20"/>
          <w:szCs w:val="20"/>
          <w:lang w:val="pt-BR"/>
        </w:rPr>
        <w:t>socia</w:t>
      </w:r>
      <w:r w:rsidR="00415B9C" w:rsidRPr="001B4EA4">
        <w:rPr>
          <w:rFonts w:ascii="Verdana" w:hAnsi="Verdana"/>
          <w:sz w:val="20"/>
          <w:szCs w:val="20"/>
          <w:lang w:val="pt-BR"/>
        </w:rPr>
        <w:t>is</w:t>
      </w:r>
      <w:r w:rsidRPr="001B4EA4">
        <w:rPr>
          <w:rFonts w:ascii="Verdana" w:hAnsi="Verdana"/>
          <w:sz w:val="20"/>
          <w:szCs w:val="20"/>
          <w:lang w:val="pt-BR"/>
        </w:rPr>
        <w:t xml:space="preserve"> gerado pela</w:t>
      </w:r>
      <w:r w:rsidR="00F05D15" w:rsidRPr="001B4EA4">
        <w:rPr>
          <w:rFonts w:ascii="Verdana" w:hAnsi="Verdana"/>
          <w:sz w:val="20"/>
          <w:szCs w:val="20"/>
          <w:lang w:val="pt-BR"/>
        </w:rPr>
        <w:t xml:space="preserve"> execução des</w:t>
      </w:r>
      <w:r w:rsidR="0083462F" w:rsidRPr="001B4EA4">
        <w:rPr>
          <w:rFonts w:ascii="Verdana" w:hAnsi="Verdana"/>
          <w:sz w:val="20"/>
          <w:szCs w:val="20"/>
          <w:lang w:val="pt-BR"/>
        </w:rPr>
        <w:t>s</w:t>
      </w:r>
      <w:r w:rsidR="00F05D15" w:rsidRPr="001B4EA4">
        <w:rPr>
          <w:rFonts w:ascii="Verdana" w:hAnsi="Verdana"/>
          <w:sz w:val="20"/>
          <w:szCs w:val="20"/>
          <w:lang w:val="pt-BR"/>
        </w:rPr>
        <w:t>as</w:t>
      </w:r>
      <w:r w:rsidR="009358B8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="00F05D15" w:rsidRPr="001B4EA4">
        <w:rPr>
          <w:rFonts w:ascii="Verdana" w:hAnsi="Verdana"/>
          <w:sz w:val="20"/>
          <w:szCs w:val="20"/>
          <w:lang w:val="pt-BR"/>
        </w:rPr>
        <w:t>atividades</w:t>
      </w:r>
      <w:r w:rsidR="0083462F" w:rsidRPr="001B4EA4">
        <w:rPr>
          <w:rFonts w:ascii="Verdana" w:hAnsi="Verdana"/>
          <w:sz w:val="20"/>
          <w:szCs w:val="20"/>
          <w:lang w:val="pt-BR"/>
        </w:rPr>
        <w:t>, ess</w:t>
      </w:r>
      <w:r w:rsidRPr="001B4EA4">
        <w:rPr>
          <w:rFonts w:ascii="Verdana" w:hAnsi="Verdana"/>
          <w:sz w:val="20"/>
          <w:szCs w:val="20"/>
          <w:lang w:val="pt-BR"/>
        </w:rPr>
        <w:t xml:space="preserve">es riscos devem geridos antes e depois da privatização. </w:t>
      </w:r>
    </w:p>
    <w:p w14:paraId="23408D03" w14:textId="77777777" w:rsidR="00DE6CF4" w:rsidRPr="001B4EA4" w:rsidRDefault="00DE6CF4" w:rsidP="001B4EA4">
      <w:pPr>
        <w:spacing w:line="276" w:lineRule="auto"/>
        <w:ind w:firstLine="708"/>
        <w:jc w:val="both"/>
        <w:rPr>
          <w:rFonts w:ascii="Verdana" w:hAnsi="Verdana"/>
          <w:sz w:val="20"/>
          <w:szCs w:val="20"/>
          <w:lang w:val="pt-BR"/>
        </w:rPr>
      </w:pPr>
    </w:p>
    <w:tbl>
      <w:tblPr>
        <w:tblStyle w:val="TabeladeLista3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646EE" w:rsidRPr="001B4EA4" w14:paraId="533FB408" w14:textId="77777777" w:rsidTr="00DE6C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vAlign w:val="center"/>
          </w:tcPr>
          <w:p w14:paraId="4193841A" w14:textId="77777777" w:rsidR="00D646EE" w:rsidRPr="001B4EA4" w:rsidRDefault="00D646EE" w:rsidP="00E1329E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pt-BR"/>
              </w:rPr>
            </w:pPr>
            <w:r w:rsidRPr="001B4EA4">
              <w:rPr>
                <w:rFonts w:ascii="Verdana" w:hAnsi="Verdana"/>
                <w:sz w:val="20"/>
                <w:szCs w:val="20"/>
                <w:lang w:val="pt-BR"/>
              </w:rPr>
              <w:t>Recomendação</w:t>
            </w:r>
          </w:p>
        </w:tc>
      </w:tr>
      <w:tr w:rsidR="00D646EE" w:rsidRPr="006F538F" w14:paraId="396C5919" w14:textId="77777777" w:rsidTr="002154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000000"/>
            </w:tcBorders>
            <w:vAlign w:val="center"/>
          </w:tcPr>
          <w:p w14:paraId="4DEA87E6" w14:textId="34207DE7" w:rsidR="00D646EE" w:rsidRPr="00157AE3" w:rsidRDefault="00D646EE" w:rsidP="001B4EA4">
            <w:pPr>
              <w:spacing w:line="276" w:lineRule="auto"/>
              <w:jc w:val="both"/>
              <w:rPr>
                <w:rFonts w:ascii="Verdana" w:hAnsi="Verdana"/>
                <w:b w:val="0"/>
                <w:sz w:val="20"/>
                <w:szCs w:val="20"/>
                <w:lang w:val="pt-BR"/>
              </w:rPr>
            </w:pPr>
            <w:r w:rsidRPr="00157AE3">
              <w:rPr>
                <w:rFonts w:ascii="Verdana" w:hAnsi="Verdana"/>
                <w:b w:val="0"/>
                <w:sz w:val="20"/>
                <w:szCs w:val="20"/>
                <w:lang w:val="pt-BR"/>
              </w:rPr>
              <w:t xml:space="preserve">Após a </w:t>
            </w:r>
            <w:r w:rsidR="0083462F" w:rsidRPr="00157AE3">
              <w:rPr>
                <w:rFonts w:ascii="Verdana" w:hAnsi="Verdana"/>
                <w:b w:val="0"/>
                <w:sz w:val="20"/>
                <w:szCs w:val="20"/>
                <w:lang w:val="pt-BR"/>
              </w:rPr>
              <w:t>privatização deve ser conduzido</w:t>
            </w:r>
            <w:r w:rsidRPr="00157AE3">
              <w:rPr>
                <w:rFonts w:ascii="Verdana" w:hAnsi="Verdana"/>
                <w:b w:val="0"/>
                <w:sz w:val="20"/>
                <w:szCs w:val="20"/>
                <w:lang w:val="pt-BR"/>
              </w:rPr>
              <w:t xml:space="preserve"> monitoramento </w:t>
            </w:r>
            <w:r w:rsidR="0083462F" w:rsidRPr="00157AE3">
              <w:rPr>
                <w:rFonts w:ascii="Verdana" w:hAnsi="Verdana"/>
                <w:b w:val="0"/>
                <w:sz w:val="20"/>
                <w:szCs w:val="20"/>
                <w:lang w:val="pt-BR"/>
              </w:rPr>
              <w:t>em relação</w:t>
            </w:r>
            <w:r w:rsidRPr="00157AE3">
              <w:rPr>
                <w:rFonts w:ascii="Verdana" w:hAnsi="Verdana"/>
                <w:b w:val="0"/>
                <w:sz w:val="20"/>
                <w:szCs w:val="20"/>
                <w:lang w:val="pt-BR"/>
              </w:rPr>
              <w:t xml:space="preserve"> ao cumprimento dos objetivos sociais indicados como relevantes no início do processo, quando da tomada de decisão, e que tiveram sua execução ordenada por meio de arcabouço regulatório ou contratual.</w:t>
            </w:r>
          </w:p>
        </w:tc>
      </w:tr>
      <w:tr w:rsidR="00D646EE" w:rsidRPr="006F538F" w14:paraId="606075FC" w14:textId="77777777" w:rsidTr="00051DB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000000" w:themeFill="text1"/>
          </w:tcPr>
          <w:p w14:paraId="0CA2E60F" w14:textId="77777777" w:rsidR="00D646EE" w:rsidRPr="001B4EA4" w:rsidRDefault="00D646EE" w:rsidP="00E1329E">
            <w:pPr>
              <w:spacing w:line="276" w:lineRule="auto"/>
              <w:jc w:val="both"/>
              <w:rPr>
                <w:rFonts w:ascii="Verdana" w:hAnsi="Verdana"/>
                <w:b w:val="0"/>
                <w:sz w:val="20"/>
                <w:szCs w:val="20"/>
                <w:lang w:val="pt-BR"/>
              </w:rPr>
            </w:pPr>
          </w:p>
        </w:tc>
      </w:tr>
    </w:tbl>
    <w:p w14:paraId="288E2514" w14:textId="77777777" w:rsidR="00DE6CF4" w:rsidRPr="001B4EA4" w:rsidRDefault="00DE6CF4" w:rsidP="001B4EA4">
      <w:pPr>
        <w:spacing w:before="160" w:line="276" w:lineRule="auto"/>
        <w:ind w:firstLine="709"/>
        <w:jc w:val="both"/>
        <w:rPr>
          <w:rFonts w:ascii="Verdana" w:hAnsi="Verdana"/>
          <w:i/>
          <w:sz w:val="20"/>
          <w:szCs w:val="20"/>
          <w:lang w:val="pt-BR"/>
        </w:rPr>
      </w:pPr>
    </w:p>
    <w:p w14:paraId="3181A791" w14:textId="25AB1E7A" w:rsidR="007D58F1" w:rsidRPr="001B4EA4" w:rsidRDefault="007D58F1" w:rsidP="001B4EA4">
      <w:pPr>
        <w:spacing w:before="160" w:line="276" w:lineRule="auto"/>
        <w:ind w:firstLine="709"/>
        <w:jc w:val="both"/>
        <w:rPr>
          <w:rFonts w:ascii="Verdana" w:hAnsi="Verdana"/>
          <w:i/>
          <w:sz w:val="20"/>
          <w:szCs w:val="20"/>
          <w:lang w:val="pt-BR"/>
        </w:rPr>
      </w:pPr>
      <w:r w:rsidRPr="001B4EA4">
        <w:rPr>
          <w:rFonts w:ascii="Verdana" w:hAnsi="Verdana"/>
          <w:i/>
          <w:sz w:val="20"/>
          <w:szCs w:val="20"/>
          <w:lang w:val="pt-BR"/>
        </w:rPr>
        <w:t>Aplicação</w:t>
      </w:r>
    </w:p>
    <w:p w14:paraId="51F67BC1" w14:textId="15E8AC7F" w:rsidR="003639BB" w:rsidRPr="001B4EA4" w:rsidRDefault="007D58F1" w:rsidP="001B4EA4">
      <w:pPr>
        <w:spacing w:line="276" w:lineRule="auto"/>
        <w:ind w:firstLine="708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>S</w:t>
      </w:r>
      <w:r w:rsidR="006E4A28" w:rsidRPr="001B4EA4">
        <w:rPr>
          <w:rFonts w:ascii="Verdana" w:hAnsi="Verdana"/>
          <w:sz w:val="20"/>
          <w:szCs w:val="20"/>
          <w:lang w:val="pt-BR"/>
        </w:rPr>
        <w:t>ão essenciais agências reguladoras</w:t>
      </w:r>
      <w:r w:rsidR="00EB4CDE" w:rsidRPr="001B4EA4">
        <w:rPr>
          <w:rStyle w:val="Refdenotaderodap"/>
          <w:rFonts w:ascii="Verdana" w:hAnsi="Verdana"/>
          <w:sz w:val="20"/>
          <w:szCs w:val="20"/>
          <w:lang w:val="pt-BR"/>
        </w:rPr>
        <w:footnoteReference w:id="9"/>
      </w:r>
      <w:r w:rsidR="006E4A28" w:rsidRPr="001B4EA4">
        <w:rPr>
          <w:rFonts w:ascii="Verdana" w:hAnsi="Verdana"/>
          <w:sz w:val="20"/>
          <w:szCs w:val="20"/>
          <w:lang w:val="pt-BR"/>
        </w:rPr>
        <w:t xml:space="preserve"> tecnicamente sólidas</w:t>
      </w:r>
      <w:r w:rsidR="00183DCD" w:rsidRPr="001B4EA4">
        <w:rPr>
          <w:rFonts w:ascii="Verdana" w:hAnsi="Verdana"/>
          <w:sz w:val="20"/>
          <w:szCs w:val="20"/>
          <w:lang w:val="pt-BR"/>
        </w:rPr>
        <w:t>, especializadas</w:t>
      </w:r>
      <w:r w:rsidR="006E4A28" w:rsidRPr="001B4EA4">
        <w:rPr>
          <w:rFonts w:ascii="Verdana" w:hAnsi="Verdana"/>
          <w:sz w:val="20"/>
          <w:szCs w:val="20"/>
          <w:lang w:val="pt-BR"/>
        </w:rPr>
        <w:t xml:space="preserve"> e independentes para o exercício da função de verificação </w:t>
      </w:r>
      <w:r w:rsidR="00EB4CDE" w:rsidRPr="001B4EA4">
        <w:rPr>
          <w:rFonts w:ascii="Verdana" w:hAnsi="Verdana"/>
          <w:sz w:val="20"/>
          <w:szCs w:val="20"/>
          <w:lang w:val="pt-BR"/>
        </w:rPr>
        <w:t>des</w:t>
      </w:r>
      <w:r w:rsidR="0083462F" w:rsidRPr="001B4EA4">
        <w:rPr>
          <w:rFonts w:ascii="Verdana" w:hAnsi="Verdana"/>
          <w:sz w:val="20"/>
          <w:szCs w:val="20"/>
          <w:lang w:val="pt-BR"/>
        </w:rPr>
        <w:t>s</w:t>
      </w:r>
      <w:r w:rsidR="00EB4CDE" w:rsidRPr="001B4EA4">
        <w:rPr>
          <w:rFonts w:ascii="Verdana" w:hAnsi="Verdana"/>
          <w:sz w:val="20"/>
          <w:szCs w:val="20"/>
          <w:lang w:val="pt-BR"/>
        </w:rPr>
        <w:t>es</w:t>
      </w:r>
      <w:r w:rsidR="006E4A28" w:rsidRPr="001B4EA4">
        <w:rPr>
          <w:rFonts w:ascii="Verdana" w:hAnsi="Verdana"/>
          <w:sz w:val="20"/>
          <w:szCs w:val="20"/>
          <w:lang w:val="pt-BR"/>
        </w:rPr>
        <w:t xml:space="preserve"> critérios e </w:t>
      </w:r>
      <w:r w:rsidR="00EB4CDE" w:rsidRPr="001B4EA4">
        <w:rPr>
          <w:rFonts w:ascii="Verdana" w:hAnsi="Verdana"/>
          <w:sz w:val="20"/>
          <w:szCs w:val="20"/>
          <w:lang w:val="pt-BR"/>
        </w:rPr>
        <w:t>d</w:t>
      </w:r>
      <w:r w:rsidR="006E4A28" w:rsidRPr="001B4EA4">
        <w:rPr>
          <w:rFonts w:ascii="Verdana" w:hAnsi="Verdana"/>
          <w:sz w:val="20"/>
          <w:szCs w:val="20"/>
          <w:lang w:val="pt-BR"/>
        </w:rPr>
        <w:t xml:space="preserve">o funcionamento adequado das empresas do setor. </w:t>
      </w:r>
      <w:r w:rsidR="00C124AF" w:rsidRPr="001B4EA4">
        <w:rPr>
          <w:rFonts w:ascii="Verdana" w:hAnsi="Verdana"/>
          <w:sz w:val="20"/>
          <w:szCs w:val="20"/>
          <w:lang w:val="pt-BR"/>
        </w:rPr>
        <w:t>Ressalte-se que, quando o processo de tomada de decisão de privatização é realizado de forma diligente, espera-se que es</w:t>
      </w:r>
      <w:r w:rsidR="0083462F" w:rsidRPr="001B4EA4">
        <w:rPr>
          <w:rFonts w:ascii="Verdana" w:hAnsi="Verdana"/>
          <w:sz w:val="20"/>
          <w:szCs w:val="20"/>
          <w:lang w:val="pt-BR"/>
        </w:rPr>
        <w:t>s</w:t>
      </w:r>
      <w:r w:rsidR="00C124AF" w:rsidRPr="001B4EA4">
        <w:rPr>
          <w:rFonts w:ascii="Verdana" w:hAnsi="Verdana"/>
          <w:sz w:val="20"/>
          <w:szCs w:val="20"/>
          <w:lang w:val="pt-BR"/>
        </w:rPr>
        <w:t xml:space="preserve">e risco </w:t>
      </w:r>
      <w:r w:rsidR="0083462F" w:rsidRPr="001B4EA4">
        <w:rPr>
          <w:rFonts w:ascii="Verdana" w:hAnsi="Verdana"/>
          <w:sz w:val="20"/>
          <w:szCs w:val="20"/>
          <w:lang w:val="pt-BR"/>
        </w:rPr>
        <w:t>este</w:t>
      </w:r>
      <w:r w:rsidR="00C124AF" w:rsidRPr="001B4EA4">
        <w:rPr>
          <w:rFonts w:ascii="Verdana" w:hAnsi="Verdana"/>
          <w:sz w:val="20"/>
          <w:szCs w:val="20"/>
          <w:lang w:val="pt-BR"/>
        </w:rPr>
        <w:t>ja significativamente mitigado.</w:t>
      </w:r>
    </w:p>
    <w:p w14:paraId="6DD25EEF" w14:textId="0932047B" w:rsidR="00AA4132" w:rsidRPr="001B4EA4" w:rsidRDefault="00381FDD" w:rsidP="001B4EA4">
      <w:pPr>
        <w:spacing w:line="276" w:lineRule="auto"/>
        <w:ind w:firstLine="708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>Além da criação des</w:t>
      </w:r>
      <w:r w:rsidR="0083462F" w:rsidRPr="001B4EA4">
        <w:rPr>
          <w:rFonts w:ascii="Verdana" w:hAnsi="Verdana"/>
          <w:sz w:val="20"/>
          <w:szCs w:val="20"/>
          <w:lang w:val="pt-BR"/>
        </w:rPr>
        <w:t>s</w:t>
      </w:r>
      <w:r w:rsidRPr="001B4EA4">
        <w:rPr>
          <w:rFonts w:ascii="Verdana" w:hAnsi="Verdana"/>
          <w:sz w:val="20"/>
          <w:szCs w:val="20"/>
          <w:lang w:val="pt-BR"/>
        </w:rPr>
        <w:t xml:space="preserve">es </w:t>
      </w:r>
      <w:r w:rsidR="00C04ABE" w:rsidRPr="001B4EA4">
        <w:rPr>
          <w:rFonts w:ascii="Verdana" w:hAnsi="Verdana"/>
          <w:sz w:val="20"/>
          <w:szCs w:val="20"/>
          <w:lang w:val="pt-BR"/>
        </w:rPr>
        <w:t>mecanismos de monitoramento</w:t>
      </w:r>
      <w:r w:rsidRPr="001B4EA4">
        <w:rPr>
          <w:rFonts w:ascii="Verdana" w:hAnsi="Verdana"/>
          <w:sz w:val="20"/>
          <w:szCs w:val="20"/>
          <w:lang w:val="pt-BR"/>
        </w:rPr>
        <w:t>, deve-se verificar a conveniência de fixação de</w:t>
      </w:r>
      <w:r w:rsidR="00C04ABE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="007F05FC" w:rsidRPr="001B4EA4">
        <w:rPr>
          <w:rFonts w:ascii="Verdana" w:hAnsi="Verdana"/>
          <w:sz w:val="20"/>
          <w:szCs w:val="20"/>
          <w:lang w:val="pt-BR"/>
        </w:rPr>
        <w:t>e</w:t>
      </w:r>
      <w:r w:rsidR="0083462F" w:rsidRPr="001B4EA4">
        <w:rPr>
          <w:rFonts w:ascii="Verdana" w:hAnsi="Verdana"/>
          <w:sz w:val="20"/>
          <w:szCs w:val="20"/>
          <w:lang w:val="pt-BR"/>
        </w:rPr>
        <w:t>ventuais sanções caso o</w:t>
      </w:r>
      <w:r w:rsidR="00C04ABE" w:rsidRPr="001B4EA4">
        <w:rPr>
          <w:rFonts w:ascii="Verdana" w:hAnsi="Verdana"/>
          <w:sz w:val="20"/>
          <w:szCs w:val="20"/>
          <w:lang w:val="pt-BR"/>
        </w:rPr>
        <w:t>s objetivos não sejam adequadamente observados pelos gestores privados.</w:t>
      </w:r>
      <w:r w:rsidR="00A734E6" w:rsidRPr="001B4EA4">
        <w:rPr>
          <w:rFonts w:ascii="Verdana" w:hAnsi="Verdana"/>
          <w:sz w:val="20"/>
          <w:szCs w:val="20"/>
          <w:lang w:val="pt-BR"/>
        </w:rPr>
        <w:t xml:space="preserve"> </w:t>
      </w:r>
    </w:p>
    <w:p w14:paraId="6B9138B8" w14:textId="77777777" w:rsidR="00DE6CF4" w:rsidRPr="001B4EA4" w:rsidRDefault="00DE6CF4" w:rsidP="001B4EA4">
      <w:pPr>
        <w:spacing w:line="276" w:lineRule="auto"/>
        <w:ind w:firstLine="708"/>
        <w:jc w:val="both"/>
        <w:rPr>
          <w:rFonts w:ascii="Verdana" w:hAnsi="Verdana"/>
          <w:sz w:val="20"/>
          <w:szCs w:val="20"/>
          <w:lang w:val="pt-BR"/>
        </w:rPr>
      </w:pPr>
    </w:p>
    <w:p w14:paraId="491B3C2A" w14:textId="4F42E86B" w:rsidR="001E7CC5" w:rsidRPr="00215482" w:rsidRDefault="001E7CC5" w:rsidP="001B4EA4">
      <w:pPr>
        <w:pStyle w:val="Ttulo1"/>
        <w:spacing w:line="276" w:lineRule="auto"/>
        <w:jc w:val="both"/>
        <w:rPr>
          <w:rFonts w:ascii="Verdana" w:hAnsi="Verdana"/>
          <w:b/>
          <w:sz w:val="20"/>
          <w:szCs w:val="20"/>
          <w:lang w:val="pt-BR"/>
        </w:rPr>
      </w:pPr>
      <w:bookmarkStart w:id="37" w:name="_Toc20752241"/>
      <w:r w:rsidRPr="00215482">
        <w:rPr>
          <w:rFonts w:ascii="Verdana" w:hAnsi="Verdana"/>
          <w:b/>
          <w:sz w:val="20"/>
          <w:szCs w:val="20"/>
          <w:lang w:val="pt-BR"/>
        </w:rPr>
        <w:t>Síntese das recomendações</w:t>
      </w:r>
      <w:bookmarkEnd w:id="37"/>
    </w:p>
    <w:p w14:paraId="1FCA3393" w14:textId="77777777" w:rsidR="006B49B5" w:rsidRPr="001B4EA4" w:rsidRDefault="006B49B5" w:rsidP="001B4EA4">
      <w:pPr>
        <w:spacing w:line="276" w:lineRule="auto"/>
        <w:ind w:left="357"/>
        <w:jc w:val="both"/>
        <w:rPr>
          <w:rFonts w:ascii="Verdana" w:hAnsi="Verdana"/>
          <w:sz w:val="20"/>
          <w:szCs w:val="20"/>
          <w:lang w:val="pt-BR"/>
        </w:rPr>
      </w:pPr>
    </w:p>
    <w:p w14:paraId="625AFA7B" w14:textId="6EF17DDF" w:rsidR="001E7CC5" w:rsidRPr="001B4EA4" w:rsidRDefault="00CF6B74" w:rsidP="001B4EA4">
      <w:pPr>
        <w:spacing w:line="276" w:lineRule="auto"/>
        <w:ind w:left="357" w:firstLine="360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>Diante da fundamentação exposta</w:t>
      </w:r>
      <w:r w:rsidR="001E7CC5" w:rsidRPr="001B4EA4">
        <w:rPr>
          <w:rFonts w:ascii="Verdana" w:hAnsi="Verdana"/>
          <w:sz w:val="20"/>
          <w:szCs w:val="20"/>
          <w:lang w:val="pt-BR"/>
        </w:rPr>
        <w:t>, o IBGC recomenda</w:t>
      </w:r>
      <w:r w:rsidR="00F8676A" w:rsidRPr="001B4EA4">
        <w:rPr>
          <w:rFonts w:ascii="Verdana" w:hAnsi="Verdana"/>
          <w:sz w:val="20"/>
          <w:szCs w:val="20"/>
          <w:lang w:val="pt-BR"/>
        </w:rPr>
        <w:t xml:space="preserve"> que</w:t>
      </w:r>
      <w:r w:rsidR="0083462F" w:rsidRPr="001B4EA4">
        <w:rPr>
          <w:rFonts w:ascii="Verdana" w:hAnsi="Verdana"/>
          <w:sz w:val="20"/>
          <w:szCs w:val="20"/>
          <w:lang w:val="pt-BR"/>
        </w:rPr>
        <w:t xml:space="preserve"> seja verificada </w:t>
      </w:r>
      <w:r w:rsidR="00485DEE" w:rsidRPr="001B4EA4">
        <w:rPr>
          <w:rFonts w:ascii="Verdana" w:hAnsi="Verdana"/>
          <w:sz w:val="20"/>
          <w:szCs w:val="20"/>
          <w:lang w:val="pt-BR"/>
        </w:rPr>
        <w:t>a conformidade, ao longo do processo, com as seguintes orientações</w:t>
      </w:r>
      <w:r w:rsidR="001E7CC5" w:rsidRPr="001B4EA4">
        <w:rPr>
          <w:rFonts w:ascii="Verdana" w:hAnsi="Verdana"/>
          <w:sz w:val="20"/>
          <w:szCs w:val="20"/>
          <w:lang w:val="pt-BR"/>
        </w:rPr>
        <w:t>:</w:t>
      </w:r>
    </w:p>
    <w:p w14:paraId="32A8CD33" w14:textId="751073DF" w:rsidR="007D58F1" w:rsidRPr="001B4EA4" w:rsidRDefault="0083462F" w:rsidP="001B4EA4">
      <w:pPr>
        <w:pStyle w:val="PargrafodaLista"/>
        <w:numPr>
          <w:ilvl w:val="0"/>
          <w:numId w:val="30"/>
        </w:numPr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>adoção de</w:t>
      </w:r>
      <w:r w:rsidR="007D58F1" w:rsidRPr="001B4EA4">
        <w:rPr>
          <w:rFonts w:ascii="Verdana" w:hAnsi="Verdana"/>
          <w:sz w:val="20"/>
          <w:szCs w:val="20"/>
          <w:lang w:val="pt-BR"/>
        </w:rPr>
        <w:t xml:space="preserve"> medidas </w:t>
      </w:r>
      <w:r w:rsidRPr="001B4EA4">
        <w:rPr>
          <w:rFonts w:ascii="Verdana" w:hAnsi="Verdana"/>
          <w:sz w:val="20"/>
          <w:szCs w:val="20"/>
          <w:lang w:val="pt-BR"/>
        </w:rPr>
        <w:t xml:space="preserve">para </w:t>
      </w:r>
      <w:r w:rsidR="007D58F1" w:rsidRPr="001B4EA4">
        <w:rPr>
          <w:rFonts w:ascii="Verdana" w:hAnsi="Verdana"/>
          <w:sz w:val="20"/>
          <w:szCs w:val="20"/>
          <w:lang w:val="pt-BR"/>
        </w:rPr>
        <w:t xml:space="preserve">o aprimoramento da eficiência regulatória, a confiabilidade e impessoalidade das instituições, a segurança jurídica e a eficiência na aplicação e </w:t>
      </w:r>
      <w:r w:rsidR="007D58F1" w:rsidRPr="007135F8">
        <w:rPr>
          <w:rFonts w:ascii="Verdana" w:hAnsi="Verdana"/>
          <w:sz w:val="20"/>
          <w:szCs w:val="20"/>
          <w:lang w:val="pt-BR"/>
        </w:rPr>
        <w:t>criação</w:t>
      </w:r>
      <w:r w:rsidR="00AD072E" w:rsidRPr="007135F8">
        <w:rPr>
          <w:rFonts w:ascii="Verdana" w:hAnsi="Verdana"/>
          <w:sz w:val="20"/>
          <w:szCs w:val="20"/>
          <w:lang w:val="pt-BR"/>
        </w:rPr>
        <w:t xml:space="preserve"> das normas jurídicas</w:t>
      </w:r>
      <w:r w:rsidR="007D58F1" w:rsidRPr="001B4EA4">
        <w:rPr>
          <w:rFonts w:ascii="Verdana" w:hAnsi="Verdana"/>
          <w:sz w:val="20"/>
          <w:szCs w:val="20"/>
          <w:lang w:val="pt-BR"/>
        </w:rPr>
        <w:t>;</w:t>
      </w:r>
    </w:p>
    <w:p w14:paraId="5AD62C79" w14:textId="7577CB8C" w:rsidR="006F535C" w:rsidRPr="001B4EA4" w:rsidRDefault="004E76F3" w:rsidP="001B4EA4">
      <w:pPr>
        <w:pStyle w:val="PargrafodaLista"/>
        <w:numPr>
          <w:ilvl w:val="0"/>
          <w:numId w:val="30"/>
        </w:numPr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>na to</w:t>
      </w:r>
      <w:r w:rsidR="0083462F" w:rsidRPr="001B4EA4">
        <w:rPr>
          <w:rFonts w:ascii="Verdana" w:hAnsi="Verdana"/>
          <w:sz w:val="20"/>
          <w:szCs w:val="20"/>
          <w:lang w:val="pt-BR"/>
        </w:rPr>
        <w:t>mada de decisão de privatização</w:t>
      </w:r>
      <w:r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="0083462F" w:rsidRPr="001B4EA4">
        <w:rPr>
          <w:rFonts w:ascii="Verdana" w:hAnsi="Verdana"/>
          <w:sz w:val="20"/>
          <w:szCs w:val="20"/>
          <w:lang w:val="pt-BR"/>
        </w:rPr>
        <w:t xml:space="preserve">deve-se </w:t>
      </w:r>
      <w:r w:rsidR="00AD072E" w:rsidRPr="001B4EA4">
        <w:rPr>
          <w:rFonts w:ascii="Verdana" w:hAnsi="Verdana"/>
          <w:sz w:val="20"/>
          <w:szCs w:val="20"/>
          <w:lang w:val="pt-BR"/>
        </w:rPr>
        <w:t>ponderar</w:t>
      </w:r>
      <w:r w:rsidR="0083462F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Pr="001B4EA4">
        <w:rPr>
          <w:rFonts w:ascii="Verdana" w:hAnsi="Verdana"/>
          <w:sz w:val="20"/>
          <w:szCs w:val="20"/>
          <w:lang w:val="pt-BR"/>
        </w:rPr>
        <w:t>os benefícios da passagem da estatal para o controle privado com relação aos potenciais custos e riscos relativos ao atendimento de objetivos sociais;</w:t>
      </w:r>
    </w:p>
    <w:p w14:paraId="1078467E" w14:textId="7EE5F6E9" w:rsidR="004E76F3" w:rsidRPr="001B4EA4" w:rsidRDefault="004E76F3" w:rsidP="001B4EA4">
      <w:pPr>
        <w:pStyle w:val="PargrafodaLista"/>
        <w:numPr>
          <w:ilvl w:val="0"/>
          <w:numId w:val="30"/>
        </w:numPr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 xml:space="preserve">firmada a decisão pela privatização, </w:t>
      </w:r>
      <w:r w:rsidR="00A05A07" w:rsidRPr="001B4EA4">
        <w:rPr>
          <w:rFonts w:ascii="Verdana" w:hAnsi="Verdana"/>
          <w:sz w:val="20"/>
          <w:szCs w:val="20"/>
          <w:lang w:val="pt-BR"/>
        </w:rPr>
        <w:t xml:space="preserve">deve ser </w:t>
      </w:r>
      <w:r w:rsidRPr="001B4EA4">
        <w:rPr>
          <w:rFonts w:ascii="Verdana" w:hAnsi="Verdana"/>
          <w:sz w:val="20"/>
          <w:szCs w:val="20"/>
          <w:lang w:val="pt-BR"/>
        </w:rPr>
        <w:t xml:space="preserve">estabelecido um arcabouço </w:t>
      </w:r>
      <w:r w:rsidR="00E26E94" w:rsidRPr="001B4EA4">
        <w:rPr>
          <w:rFonts w:ascii="Verdana" w:hAnsi="Verdana"/>
          <w:sz w:val="20"/>
          <w:szCs w:val="20"/>
          <w:lang w:val="pt-BR"/>
        </w:rPr>
        <w:t xml:space="preserve">contratual e </w:t>
      </w:r>
      <w:r w:rsidRPr="001B4EA4">
        <w:rPr>
          <w:rFonts w:ascii="Verdana" w:hAnsi="Verdana"/>
          <w:sz w:val="20"/>
          <w:szCs w:val="20"/>
          <w:lang w:val="pt-BR"/>
        </w:rPr>
        <w:t xml:space="preserve">regulatório adequado para </w:t>
      </w:r>
      <w:r w:rsidR="0083462F" w:rsidRPr="001B4EA4">
        <w:rPr>
          <w:rFonts w:ascii="Verdana" w:hAnsi="Verdana"/>
          <w:sz w:val="20"/>
          <w:szCs w:val="20"/>
          <w:lang w:val="pt-BR"/>
        </w:rPr>
        <w:t xml:space="preserve">se </w:t>
      </w:r>
      <w:r w:rsidRPr="001B4EA4">
        <w:rPr>
          <w:rFonts w:ascii="Verdana" w:hAnsi="Verdana"/>
          <w:sz w:val="20"/>
          <w:szCs w:val="20"/>
          <w:lang w:val="pt-BR"/>
        </w:rPr>
        <w:t>garantir o atendimento dos objetivos sociais relevantes, com fixação de indicadores quantitativos e qualitativos que permitam seu monitoramento;</w:t>
      </w:r>
    </w:p>
    <w:p w14:paraId="1AF6BCF7" w14:textId="1FEFD2A3" w:rsidR="00C7287F" w:rsidRPr="001B4EA4" w:rsidRDefault="00C7287F" w:rsidP="001B4EA4">
      <w:pPr>
        <w:pStyle w:val="PargrafodaLista"/>
        <w:numPr>
          <w:ilvl w:val="0"/>
          <w:numId w:val="30"/>
        </w:numPr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 xml:space="preserve">caso seja verificado que não é recomendável a privatização, </w:t>
      </w:r>
      <w:r w:rsidR="00A05A07" w:rsidRPr="001B4EA4">
        <w:rPr>
          <w:rFonts w:ascii="Verdana" w:hAnsi="Verdana"/>
          <w:sz w:val="20"/>
          <w:szCs w:val="20"/>
          <w:lang w:val="pt-BR"/>
        </w:rPr>
        <w:t xml:space="preserve">deve ser </w:t>
      </w:r>
      <w:r w:rsidRPr="001B4EA4">
        <w:rPr>
          <w:rFonts w:ascii="Verdana" w:hAnsi="Verdana"/>
          <w:sz w:val="20"/>
          <w:szCs w:val="20"/>
          <w:lang w:val="pt-BR"/>
        </w:rPr>
        <w:t xml:space="preserve">feita a ponderação sobre a manutenção da empresa estatal ou se é preferível realizar a venda de seus ativos, o encerramento ou </w:t>
      </w:r>
      <w:r w:rsidR="0083462F" w:rsidRPr="001B4EA4">
        <w:rPr>
          <w:rFonts w:ascii="Verdana" w:hAnsi="Verdana"/>
          <w:sz w:val="20"/>
          <w:szCs w:val="20"/>
          <w:lang w:val="pt-BR"/>
        </w:rPr>
        <w:t xml:space="preserve">a </w:t>
      </w:r>
      <w:r w:rsidRPr="001B4EA4">
        <w:rPr>
          <w:rFonts w:ascii="Verdana" w:hAnsi="Verdana"/>
          <w:sz w:val="20"/>
          <w:szCs w:val="20"/>
          <w:lang w:val="pt-BR"/>
        </w:rPr>
        <w:t>passagem de suas atividades para outras áreas do Estado;</w:t>
      </w:r>
    </w:p>
    <w:p w14:paraId="20F22704" w14:textId="002BE6B3" w:rsidR="004E76F3" w:rsidRPr="001B4EA4" w:rsidRDefault="0083462F" w:rsidP="001B4EA4">
      <w:pPr>
        <w:pStyle w:val="PargrafodaLista"/>
        <w:numPr>
          <w:ilvl w:val="0"/>
          <w:numId w:val="30"/>
        </w:numPr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>realização de</w:t>
      </w:r>
      <w:r w:rsidR="004E76F3" w:rsidRPr="001B4EA4">
        <w:rPr>
          <w:rFonts w:ascii="Verdana" w:hAnsi="Verdana"/>
          <w:sz w:val="20"/>
          <w:szCs w:val="20"/>
          <w:lang w:val="pt-BR"/>
        </w:rPr>
        <w:t xml:space="preserve"> estudos preparatórios para </w:t>
      </w:r>
      <w:r w:rsidRPr="001B4EA4">
        <w:rPr>
          <w:rFonts w:ascii="Verdana" w:hAnsi="Verdana"/>
          <w:sz w:val="20"/>
          <w:szCs w:val="20"/>
          <w:lang w:val="pt-BR"/>
        </w:rPr>
        <w:t xml:space="preserve">se </w:t>
      </w:r>
      <w:r w:rsidR="004E76F3" w:rsidRPr="001B4EA4">
        <w:rPr>
          <w:rFonts w:ascii="Verdana" w:hAnsi="Verdana"/>
          <w:sz w:val="20"/>
          <w:szCs w:val="20"/>
          <w:lang w:val="pt-BR"/>
        </w:rPr>
        <w:t xml:space="preserve">conferir segurança jurídica ao processo, atratividade econômica ao investidor e </w:t>
      </w:r>
      <w:r w:rsidRPr="001B4EA4">
        <w:rPr>
          <w:rFonts w:ascii="Verdana" w:hAnsi="Verdana"/>
          <w:sz w:val="20"/>
          <w:szCs w:val="20"/>
          <w:lang w:val="pt-BR"/>
        </w:rPr>
        <w:t xml:space="preserve">se </w:t>
      </w:r>
      <w:r w:rsidR="004E76F3" w:rsidRPr="001B4EA4">
        <w:rPr>
          <w:rFonts w:ascii="Verdana" w:hAnsi="Verdana"/>
          <w:sz w:val="20"/>
          <w:szCs w:val="20"/>
          <w:lang w:val="pt-BR"/>
        </w:rPr>
        <w:t>atestar a conveniência da privatização;</w:t>
      </w:r>
    </w:p>
    <w:p w14:paraId="4614795B" w14:textId="2C2F283D" w:rsidR="00C7287F" w:rsidRPr="001B4EA4" w:rsidRDefault="00C7287F" w:rsidP="001B4EA4">
      <w:pPr>
        <w:pStyle w:val="PargrafodaLista"/>
        <w:numPr>
          <w:ilvl w:val="0"/>
          <w:numId w:val="30"/>
        </w:numPr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 xml:space="preserve">caso haja participação de assessores externos no processo de auditoria, seu engajamento </w:t>
      </w:r>
      <w:r w:rsidR="00485DEE" w:rsidRPr="001B4EA4">
        <w:rPr>
          <w:rFonts w:ascii="Verdana" w:hAnsi="Verdana"/>
          <w:sz w:val="20"/>
          <w:szCs w:val="20"/>
          <w:lang w:val="pt-BR"/>
        </w:rPr>
        <w:t xml:space="preserve">deve ter </w:t>
      </w:r>
      <w:r w:rsidRPr="001B4EA4">
        <w:rPr>
          <w:rFonts w:ascii="Verdana" w:hAnsi="Verdana"/>
          <w:sz w:val="20"/>
          <w:szCs w:val="20"/>
          <w:lang w:val="pt-BR"/>
        </w:rPr>
        <w:t>escopo claro e delimitado, prazo adequado e alocação de riscos apropriada;</w:t>
      </w:r>
    </w:p>
    <w:p w14:paraId="578E878E" w14:textId="312B7674" w:rsidR="00E26E94" w:rsidRPr="001B4EA4" w:rsidRDefault="00C64A29" w:rsidP="001B4EA4">
      <w:pPr>
        <w:pStyle w:val="PargrafodaLista"/>
        <w:numPr>
          <w:ilvl w:val="0"/>
          <w:numId w:val="30"/>
        </w:numPr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 xml:space="preserve">a modelagem da privatização </w:t>
      </w:r>
      <w:r w:rsidR="00485DEE" w:rsidRPr="001B4EA4">
        <w:rPr>
          <w:rFonts w:ascii="Verdana" w:hAnsi="Verdana"/>
          <w:sz w:val="20"/>
          <w:szCs w:val="20"/>
          <w:lang w:val="pt-BR"/>
        </w:rPr>
        <w:t xml:space="preserve">deve buscar </w:t>
      </w:r>
      <w:r w:rsidRPr="001B4EA4">
        <w:rPr>
          <w:rFonts w:ascii="Verdana" w:hAnsi="Verdana"/>
          <w:sz w:val="20"/>
          <w:szCs w:val="20"/>
          <w:lang w:val="pt-BR"/>
        </w:rPr>
        <w:t>atingir tanto os objetivos sociais, de ordem e interesse públicos, quanto os econômicos, de maximização de receitas e custo-benefício;</w:t>
      </w:r>
    </w:p>
    <w:p w14:paraId="05233E4F" w14:textId="47871017" w:rsidR="004E76F3" w:rsidRPr="001B4EA4" w:rsidRDefault="0083462F" w:rsidP="001B4EA4">
      <w:pPr>
        <w:pStyle w:val="PargrafodaLista"/>
        <w:numPr>
          <w:ilvl w:val="0"/>
          <w:numId w:val="30"/>
        </w:numPr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>realização de</w:t>
      </w:r>
      <w:r w:rsidR="004E76F3" w:rsidRPr="001B4EA4">
        <w:rPr>
          <w:rFonts w:ascii="Verdana" w:hAnsi="Verdana"/>
          <w:sz w:val="20"/>
          <w:szCs w:val="20"/>
          <w:lang w:val="pt-BR"/>
        </w:rPr>
        <w:t xml:space="preserve"> atividades preparatóri</w:t>
      </w:r>
      <w:r w:rsidR="00A41F7B" w:rsidRPr="001B4EA4">
        <w:rPr>
          <w:rFonts w:ascii="Verdana" w:hAnsi="Verdana"/>
          <w:sz w:val="20"/>
          <w:szCs w:val="20"/>
          <w:lang w:val="pt-BR"/>
        </w:rPr>
        <w:t>a</w:t>
      </w:r>
      <w:r w:rsidR="004E76F3" w:rsidRPr="001B4EA4">
        <w:rPr>
          <w:rFonts w:ascii="Verdana" w:hAnsi="Verdana"/>
          <w:sz w:val="20"/>
          <w:szCs w:val="20"/>
          <w:lang w:val="pt-BR"/>
        </w:rPr>
        <w:t>s quanto à governança da empresa privatizada, em consonância com a modelagem de privatização adotada;</w:t>
      </w:r>
    </w:p>
    <w:p w14:paraId="4B128CD0" w14:textId="7D1E1162" w:rsidR="004E76F3" w:rsidRPr="001B4EA4" w:rsidRDefault="0083462F" w:rsidP="001B4EA4">
      <w:pPr>
        <w:pStyle w:val="PargrafodaLista"/>
        <w:numPr>
          <w:ilvl w:val="0"/>
          <w:numId w:val="30"/>
        </w:numPr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>garantia de</w:t>
      </w:r>
      <w:r w:rsidR="004E76F3" w:rsidRPr="001B4EA4">
        <w:rPr>
          <w:rFonts w:ascii="Verdana" w:hAnsi="Verdana"/>
          <w:sz w:val="20"/>
          <w:szCs w:val="20"/>
          <w:lang w:val="pt-BR"/>
        </w:rPr>
        <w:t xml:space="preserve"> participação e debate dos atores interessados</w:t>
      </w:r>
      <w:r w:rsidRPr="001B4EA4">
        <w:rPr>
          <w:rFonts w:ascii="Verdana" w:hAnsi="Verdana"/>
          <w:sz w:val="20"/>
          <w:szCs w:val="20"/>
          <w:lang w:val="pt-BR"/>
        </w:rPr>
        <w:t>,</w:t>
      </w:r>
      <w:r w:rsidR="004E76F3" w:rsidRPr="001B4EA4">
        <w:rPr>
          <w:rFonts w:ascii="Verdana" w:hAnsi="Verdana"/>
          <w:sz w:val="20"/>
          <w:szCs w:val="20"/>
          <w:lang w:val="pt-BR"/>
        </w:rPr>
        <w:t xml:space="preserve"> por meio de comissão parlamentar permanente com função fiscalizatória;</w:t>
      </w:r>
    </w:p>
    <w:p w14:paraId="0B46F306" w14:textId="2E593B38" w:rsidR="004E76F3" w:rsidRPr="001B4EA4" w:rsidRDefault="0083462F" w:rsidP="001B4EA4">
      <w:pPr>
        <w:pStyle w:val="PargrafodaLista"/>
        <w:numPr>
          <w:ilvl w:val="0"/>
          <w:numId w:val="30"/>
        </w:numPr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 xml:space="preserve">busca de </w:t>
      </w:r>
      <w:r w:rsidR="004E76F3" w:rsidRPr="001B4EA4">
        <w:rPr>
          <w:rFonts w:ascii="Verdana" w:hAnsi="Verdana"/>
          <w:sz w:val="20"/>
          <w:szCs w:val="20"/>
          <w:lang w:val="pt-BR"/>
        </w:rPr>
        <w:t xml:space="preserve">técnicas consensuais de resolução de conflitos </w:t>
      </w:r>
      <w:r w:rsidRPr="001B4EA4">
        <w:rPr>
          <w:rFonts w:ascii="Verdana" w:hAnsi="Verdana"/>
          <w:sz w:val="20"/>
          <w:szCs w:val="20"/>
          <w:lang w:val="pt-BR"/>
        </w:rPr>
        <w:t xml:space="preserve">e de adoção de </w:t>
      </w:r>
      <w:r w:rsidR="004E76F3" w:rsidRPr="001B4EA4">
        <w:rPr>
          <w:rFonts w:ascii="Verdana" w:hAnsi="Verdana"/>
          <w:sz w:val="20"/>
          <w:szCs w:val="20"/>
          <w:lang w:val="pt-BR"/>
        </w:rPr>
        <w:t>postura cooperativa entre os envolvidos;</w:t>
      </w:r>
    </w:p>
    <w:p w14:paraId="0B8E9755" w14:textId="20743CB4" w:rsidR="004E76F3" w:rsidRPr="001B4EA4" w:rsidRDefault="004E76F3" w:rsidP="001B4EA4">
      <w:pPr>
        <w:pStyle w:val="PargrafodaLista"/>
        <w:numPr>
          <w:ilvl w:val="0"/>
          <w:numId w:val="30"/>
        </w:numPr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 xml:space="preserve">o controle externo realizado pelo Poder Judiciário </w:t>
      </w:r>
      <w:r w:rsidR="0083462F" w:rsidRPr="001B4EA4">
        <w:rPr>
          <w:rFonts w:ascii="Verdana" w:hAnsi="Verdana"/>
          <w:sz w:val="20"/>
          <w:szCs w:val="20"/>
          <w:lang w:val="pt-BR"/>
        </w:rPr>
        <w:t>deve se restringir</w:t>
      </w:r>
      <w:r w:rsidRPr="001B4EA4">
        <w:rPr>
          <w:rFonts w:ascii="Verdana" w:hAnsi="Verdana"/>
          <w:sz w:val="20"/>
          <w:szCs w:val="20"/>
          <w:lang w:val="pt-BR"/>
        </w:rPr>
        <w:t xml:space="preserve"> a situações de ilegalidade ou inconstitucionalidade, adotando</w:t>
      </w:r>
      <w:r w:rsidR="002644F7" w:rsidRPr="001B4EA4">
        <w:rPr>
          <w:rFonts w:ascii="Verdana" w:hAnsi="Verdana"/>
          <w:sz w:val="20"/>
          <w:szCs w:val="20"/>
          <w:lang w:val="pt-BR"/>
        </w:rPr>
        <w:t>-se</w:t>
      </w:r>
      <w:r w:rsidRPr="001B4EA4">
        <w:rPr>
          <w:rFonts w:ascii="Verdana" w:hAnsi="Verdana"/>
          <w:sz w:val="20"/>
          <w:szCs w:val="20"/>
          <w:lang w:val="pt-BR"/>
        </w:rPr>
        <w:t xml:space="preserve"> a presunção de razoabilidade e plausibilidade dos atos dos demais poderes;</w:t>
      </w:r>
    </w:p>
    <w:p w14:paraId="62DE9253" w14:textId="5EFBBB1E" w:rsidR="00EB5A7B" w:rsidRPr="001B4EA4" w:rsidRDefault="002644F7" w:rsidP="001B4EA4">
      <w:pPr>
        <w:pStyle w:val="PargrafodaLista"/>
        <w:numPr>
          <w:ilvl w:val="0"/>
          <w:numId w:val="30"/>
        </w:numPr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>condução d</w:t>
      </w:r>
      <w:r w:rsidR="00692422" w:rsidRPr="001B4EA4">
        <w:rPr>
          <w:rFonts w:ascii="Verdana" w:hAnsi="Verdana"/>
          <w:sz w:val="20"/>
          <w:szCs w:val="20"/>
          <w:lang w:val="pt-BR"/>
        </w:rPr>
        <w:t>o</w:t>
      </w:r>
      <w:r w:rsidR="004E76F3" w:rsidRPr="001B4EA4">
        <w:rPr>
          <w:rFonts w:ascii="Verdana" w:hAnsi="Verdana"/>
          <w:sz w:val="20"/>
          <w:szCs w:val="20"/>
          <w:lang w:val="pt-BR"/>
        </w:rPr>
        <w:t xml:space="preserve"> monitoramento quanto ao cumprimento dos objetivos sociais indicados como relevantes no início do processo</w:t>
      </w:r>
      <w:r w:rsidR="00692422" w:rsidRPr="001B4EA4">
        <w:rPr>
          <w:rFonts w:ascii="Verdana" w:hAnsi="Verdana"/>
          <w:sz w:val="20"/>
          <w:szCs w:val="20"/>
          <w:lang w:val="pt-BR"/>
        </w:rPr>
        <w:t>.</w:t>
      </w:r>
      <w:r w:rsidR="00EB5A7B" w:rsidRPr="001B4EA4">
        <w:rPr>
          <w:rFonts w:ascii="Verdana" w:hAnsi="Verdana"/>
          <w:sz w:val="20"/>
          <w:szCs w:val="20"/>
          <w:lang w:val="pt-BR"/>
        </w:rPr>
        <w:br w:type="page"/>
      </w:r>
    </w:p>
    <w:p w14:paraId="68640208" w14:textId="11B0DD01" w:rsidR="00235756" w:rsidRPr="00215482" w:rsidRDefault="00235756" w:rsidP="001B4EA4">
      <w:pPr>
        <w:pStyle w:val="Ttulo1"/>
        <w:spacing w:line="276" w:lineRule="auto"/>
        <w:jc w:val="both"/>
        <w:rPr>
          <w:rFonts w:ascii="Verdana" w:hAnsi="Verdana"/>
          <w:b/>
          <w:sz w:val="20"/>
          <w:szCs w:val="20"/>
          <w:lang w:val="pt-BR"/>
        </w:rPr>
      </w:pPr>
      <w:bookmarkStart w:id="38" w:name="_Toc20752242"/>
      <w:r w:rsidRPr="00215482">
        <w:rPr>
          <w:rFonts w:ascii="Verdana" w:hAnsi="Verdana"/>
          <w:b/>
          <w:sz w:val="20"/>
          <w:szCs w:val="20"/>
          <w:lang w:val="pt-BR"/>
        </w:rPr>
        <w:t>Referências</w:t>
      </w:r>
      <w:bookmarkEnd w:id="38"/>
    </w:p>
    <w:p w14:paraId="70314502" w14:textId="77777777" w:rsidR="00DE6CF4" w:rsidRPr="001B4EA4" w:rsidRDefault="00DE6CF4" w:rsidP="001B4EA4">
      <w:pPr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</w:p>
    <w:p w14:paraId="421C9761" w14:textId="052154AF" w:rsidR="00354C21" w:rsidRPr="001B4EA4" w:rsidRDefault="00354C21" w:rsidP="001B4EA4">
      <w:pPr>
        <w:suppressLineNumbers/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color w:val="000000"/>
          <w:sz w:val="20"/>
          <w:szCs w:val="20"/>
          <w:shd w:val="clear" w:color="auto" w:fill="FFFFFF"/>
          <w:lang w:val="pt-BR"/>
        </w:rPr>
        <w:t>ACCIOLI</w:t>
      </w:r>
      <w:r w:rsidRPr="001B4EA4">
        <w:rPr>
          <w:rFonts w:ascii="Verdana" w:hAnsi="Verdana"/>
          <w:smallCaps/>
          <w:color w:val="000000"/>
          <w:sz w:val="20"/>
          <w:szCs w:val="20"/>
          <w:shd w:val="clear" w:color="auto" w:fill="FFFFFF"/>
          <w:lang w:val="pt-BR"/>
        </w:rPr>
        <w:t>,</w:t>
      </w:r>
      <w:r w:rsidRPr="001B4EA4">
        <w:rPr>
          <w:rFonts w:ascii="Verdana" w:hAnsi="Verdana"/>
          <w:color w:val="000000"/>
          <w:sz w:val="20"/>
          <w:szCs w:val="20"/>
          <w:shd w:val="clear" w:color="auto" w:fill="FFFFFF"/>
          <w:lang w:val="pt-BR"/>
        </w:rPr>
        <w:t xml:space="preserve"> Wilson.</w:t>
      </w:r>
      <w:r w:rsidRPr="001B4EA4">
        <w:rPr>
          <w:rFonts w:ascii="Verdana" w:hAnsi="Verdana"/>
          <w:b/>
          <w:color w:val="000000"/>
          <w:sz w:val="20"/>
          <w:szCs w:val="20"/>
          <w:bdr w:val="none" w:sz="0" w:space="0" w:color="auto" w:frame="1"/>
          <w:shd w:val="clear" w:color="auto" w:fill="FFFFFF"/>
          <w:lang w:val="pt-BR"/>
        </w:rPr>
        <w:t> </w:t>
      </w:r>
      <w:r w:rsidRPr="001B4EA4">
        <w:rPr>
          <w:rFonts w:ascii="Verdana" w:hAnsi="Verdana"/>
          <w:i/>
          <w:color w:val="000000"/>
          <w:sz w:val="20"/>
          <w:szCs w:val="20"/>
          <w:bdr w:val="none" w:sz="0" w:space="0" w:color="auto" w:frame="1"/>
          <w:shd w:val="clear" w:color="auto" w:fill="FFFFFF"/>
          <w:lang w:val="pt-BR"/>
        </w:rPr>
        <w:t>Instituições de direito constitucional</w:t>
      </w:r>
      <w:r w:rsidRPr="001B4EA4">
        <w:rPr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  <w:lang w:val="pt-BR"/>
        </w:rPr>
        <w:t>.</w:t>
      </w:r>
      <w:r w:rsidRPr="001B4EA4">
        <w:rPr>
          <w:rFonts w:ascii="Verdana" w:hAnsi="Verdana"/>
          <w:color w:val="000000"/>
          <w:sz w:val="20"/>
          <w:szCs w:val="20"/>
          <w:shd w:val="clear" w:color="auto" w:fill="FFFFFF"/>
          <w:lang w:val="pt-BR"/>
        </w:rPr>
        <w:t> </w:t>
      </w:r>
      <w:r w:rsidRPr="001B4EA4">
        <w:rPr>
          <w:rFonts w:ascii="Verdana" w:hAnsi="Verdana" w:cstheme="minorHAnsi"/>
          <w:color w:val="000000"/>
          <w:sz w:val="20"/>
          <w:szCs w:val="20"/>
          <w:shd w:val="clear" w:color="auto" w:fill="FFFFFF"/>
          <w:lang w:val="pt-BR"/>
        </w:rPr>
        <w:t>2</w:t>
      </w:r>
      <w:r w:rsidR="002644F7" w:rsidRPr="001B4EA4">
        <w:rPr>
          <w:rFonts w:ascii="Verdana" w:hAnsi="Verdana" w:cstheme="minorHAnsi"/>
          <w:color w:val="000000"/>
          <w:sz w:val="20"/>
          <w:szCs w:val="20"/>
          <w:shd w:val="clear" w:color="auto" w:fill="FFFFFF"/>
          <w:lang w:val="pt-BR"/>
        </w:rPr>
        <w:t>.</w:t>
      </w:r>
      <w:r w:rsidRPr="001B4EA4">
        <w:rPr>
          <w:rFonts w:ascii="Verdana" w:hAnsi="Verdana" w:cstheme="minorHAnsi"/>
          <w:color w:val="000000"/>
          <w:sz w:val="20"/>
          <w:szCs w:val="20"/>
          <w:shd w:val="clear" w:color="auto" w:fill="FFFFFF"/>
          <w:lang w:val="pt-BR"/>
        </w:rPr>
        <w:t xml:space="preserve"> </w:t>
      </w:r>
      <w:r w:rsidR="002644F7" w:rsidRPr="001B4EA4">
        <w:rPr>
          <w:rFonts w:ascii="Verdana" w:hAnsi="Verdana" w:cstheme="minorHAnsi"/>
          <w:color w:val="000000"/>
          <w:sz w:val="20"/>
          <w:szCs w:val="20"/>
          <w:shd w:val="clear" w:color="auto" w:fill="FFFFFF"/>
          <w:lang w:val="pt-BR"/>
        </w:rPr>
        <w:t>e</w:t>
      </w:r>
      <w:r w:rsidRPr="001B4EA4">
        <w:rPr>
          <w:rFonts w:ascii="Verdana" w:hAnsi="Verdana" w:cstheme="minorHAnsi"/>
          <w:color w:val="000000"/>
          <w:sz w:val="20"/>
          <w:szCs w:val="20"/>
          <w:shd w:val="clear" w:color="auto" w:fill="FFFFFF"/>
          <w:lang w:val="pt-BR"/>
        </w:rPr>
        <w:t>d</w:t>
      </w:r>
      <w:r w:rsidRPr="001B4EA4">
        <w:rPr>
          <w:rFonts w:ascii="Verdana" w:hAnsi="Verdana"/>
          <w:color w:val="000000"/>
          <w:sz w:val="20"/>
          <w:szCs w:val="20"/>
          <w:shd w:val="clear" w:color="auto" w:fill="FFFFFF"/>
          <w:lang w:val="pt-BR"/>
        </w:rPr>
        <w:t>. Rio de Janeiro</w:t>
      </w:r>
      <w:r w:rsidR="002644F7" w:rsidRPr="001B4EA4">
        <w:rPr>
          <w:rFonts w:ascii="Verdana" w:hAnsi="Verdana" w:cstheme="minorHAnsi"/>
          <w:color w:val="000000"/>
          <w:sz w:val="20"/>
          <w:szCs w:val="20"/>
          <w:shd w:val="clear" w:color="auto" w:fill="FFFFFF"/>
          <w:lang w:val="pt-BR"/>
        </w:rPr>
        <w:t>,</w:t>
      </w:r>
      <w:r w:rsidRPr="001B4EA4">
        <w:rPr>
          <w:rFonts w:ascii="Verdana" w:hAnsi="Verdana"/>
          <w:color w:val="000000"/>
          <w:sz w:val="20"/>
          <w:szCs w:val="20"/>
          <w:shd w:val="clear" w:color="auto" w:fill="FFFFFF"/>
          <w:lang w:val="pt-BR"/>
        </w:rPr>
        <w:t xml:space="preserve"> Forense, 1981. </w:t>
      </w:r>
    </w:p>
    <w:p w14:paraId="5DE829EC" w14:textId="5E21E047" w:rsidR="00354C21" w:rsidRPr="001B4EA4" w:rsidRDefault="00354C21" w:rsidP="001B4EA4">
      <w:pPr>
        <w:suppressLineNumbers/>
        <w:spacing w:line="276" w:lineRule="auto"/>
        <w:jc w:val="both"/>
        <w:rPr>
          <w:rFonts w:ascii="Verdana" w:hAnsi="Verdana"/>
          <w:sz w:val="20"/>
          <w:szCs w:val="20"/>
        </w:rPr>
      </w:pPr>
      <w:r w:rsidRPr="001B4EA4">
        <w:rPr>
          <w:rFonts w:ascii="Verdana" w:hAnsi="Verdana"/>
          <w:sz w:val="20"/>
          <w:szCs w:val="20"/>
          <w:lang w:val="pt-BR"/>
        </w:rPr>
        <w:t xml:space="preserve">ANUATTI NETO, Francisco; BAROSSI FILHO, Milton; CARVALHO, Antonio Gledson; MACEDO, Roberto. </w:t>
      </w:r>
      <w:r w:rsidR="002644F7" w:rsidRPr="001B4EA4">
        <w:rPr>
          <w:rFonts w:ascii="Verdana" w:hAnsi="Verdana" w:cstheme="minorHAnsi"/>
          <w:sz w:val="20"/>
          <w:szCs w:val="20"/>
        </w:rPr>
        <w:t>“</w:t>
      </w:r>
      <w:r w:rsidRPr="001B4EA4">
        <w:rPr>
          <w:rFonts w:ascii="Verdana" w:hAnsi="Verdana"/>
          <w:sz w:val="20"/>
          <w:szCs w:val="20"/>
        </w:rPr>
        <w:t>Costs and benefits of privatization: evidence from Brazil</w:t>
      </w:r>
      <w:r w:rsidR="002644F7" w:rsidRPr="001B4EA4">
        <w:rPr>
          <w:rFonts w:ascii="Verdana" w:hAnsi="Verdana" w:cstheme="minorHAnsi"/>
          <w:sz w:val="20"/>
          <w:szCs w:val="20"/>
        </w:rPr>
        <w:t>”.</w:t>
      </w:r>
      <w:r w:rsidR="000379DC" w:rsidRPr="001B4EA4">
        <w:rPr>
          <w:rFonts w:ascii="Verdana" w:hAnsi="Verdana" w:cstheme="minorHAnsi"/>
          <w:sz w:val="20"/>
          <w:szCs w:val="20"/>
        </w:rPr>
        <w:t xml:space="preserve"> </w:t>
      </w:r>
      <w:r w:rsidR="002644F7" w:rsidRPr="001B4EA4">
        <w:rPr>
          <w:rFonts w:ascii="Verdana" w:hAnsi="Verdana" w:cstheme="minorHAnsi"/>
          <w:iCs/>
          <w:sz w:val="20"/>
          <w:szCs w:val="20"/>
        </w:rPr>
        <w:t>I</w:t>
      </w:r>
      <w:r w:rsidRPr="001B4EA4">
        <w:rPr>
          <w:rFonts w:ascii="Verdana" w:hAnsi="Verdana" w:cstheme="minorHAnsi"/>
          <w:iCs/>
          <w:sz w:val="20"/>
          <w:szCs w:val="20"/>
        </w:rPr>
        <w:t>n</w:t>
      </w:r>
      <w:r w:rsidR="002644F7" w:rsidRPr="001B4EA4">
        <w:rPr>
          <w:rFonts w:ascii="Verdana" w:hAnsi="Verdana" w:cstheme="minorHAnsi"/>
          <w:iCs/>
          <w:sz w:val="20"/>
          <w:szCs w:val="20"/>
        </w:rPr>
        <w:t>:</w:t>
      </w:r>
      <w:r w:rsidRPr="001B4EA4">
        <w:rPr>
          <w:rFonts w:ascii="Verdana" w:hAnsi="Verdana"/>
          <w:i/>
          <w:sz w:val="20"/>
          <w:szCs w:val="20"/>
        </w:rPr>
        <w:t xml:space="preserve"> </w:t>
      </w:r>
      <w:r w:rsidR="000379DC" w:rsidRPr="001B4EA4">
        <w:rPr>
          <w:rFonts w:ascii="Verdana" w:hAnsi="Verdana"/>
          <w:sz w:val="20"/>
          <w:szCs w:val="20"/>
        </w:rPr>
        <w:t>CHONG, Alberto; LOPEZ-DE-SILANES, Florencio (</w:t>
      </w:r>
      <w:r w:rsidR="002644F7" w:rsidRPr="001B4EA4">
        <w:rPr>
          <w:rFonts w:ascii="Verdana" w:hAnsi="Verdana" w:cstheme="minorHAnsi"/>
          <w:sz w:val="20"/>
          <w:szCs w:val="20"/>
        </w:rPr>
        <w:t>e</w:t>
      </w:r>
      <w:r w:rsidRPr="001B4EA4">
        <w:rPr>
          <w:rFonts w:ascii="Verdana" w:hAnsi="Verdana" w:cstheme="minorHAnsi"/>
          <w:sz w:val="20"/>
          <w:szCs w:val="20"/>
        </w:rPr>
        <w:t>ds</w:t>
      </w:r>
      <w:r w:rsidRPr="001B4EA4">
        <w:rPr>
          <w:rFonts w:ascii="Verdana" w:hAnsi="Verdana"/>
          <w:sz w:val="20"/>
          <w:szCs w:val="20"/>
        </w:rPr>
        <w:t>.)</w:t>
      </w:r>
      <w:r w:rsidR="000379DC" w:rsidRPr="001B4EA4">
        <w:rPr>
          <w:rFonts w:ascii="Verdana" w:hAnsi="Verdana"/>
          <w:sz w:val="20"/>
          <w:szCs w:val="20"/>
        </w:rPr>
        <w:t>.</w:t>
      </w:r>
      <w:r w:rsidRPr="001B4EA4">
        <w:rPr>
          <w:rFonts w:ascii="Verdana" w:hAnsi="Verdana"/>
          <w:sz w:val="20"/>
          <w:szCs w:val="20"/>
        </w:rPr>
        <w:t xml:space="preserve"> </w:t>
      </w:r>
      <w:r w:rsidRPr="001B4EA4">
        <w:rPr>
          <w:rFonts w:ascii="Verdana" w:hAnsi="Verdana"/>
          <w:i/>
          <w:sz w:val="20"/>
          <w:szCs w:val="20"/>
        </w:rPr>
        <w:t>Privatization in Latin America: myths and reality</w:t>
      </w:r>
      <w:r w:rsidRPr="001B4EA4">
        <w:rPr>
          <w:rFonts w:ascii="Verdana" w:hAnsi="Verdana"/>
          <w:sz w:val="20"/>
          <w:szCs w:val="20"/>
        </w:rPr>
        <w:t>. Washington DC</w:t>
      </w:r>
      <w:r w:rsidR="002644F7" w:rsidRPr="001B4EA4">
        <w:rPr>
          <w:rFonts w:ascii="Verdana" w:hAnsi="Verdana" w:cstheme="minorHAnsi"/>
          <w:sz w:val="20"/>
          <w:szCs w:val="20"/>
        </w:rPr>
        <w:t>,</w:t>
      </w:r>
      <w:r w:rsidRPr="001B4EA4">
        <w:rPr>
          <w:rFonts w:ascii="Verdana" w:hAnsi="Verdana"/>
          <w:sz w:val="20"/>
          <w:szCs w:val="20"/>
        </w:rPr>
        <w:t xml:space="preserve"> World Bank and Stanford University Press, </w:t>
      </w:r>
      <w:r w:rsidRPr="001B4EA4">
        <w:rPr>
          <w:rFonts w:ascii="Verdana" w:hAnsi="Verdana" w:cstheme="minorHAnsi"/>
          <w:sz w:val="20"/>
          <w:szCs w:val="20"/>
        </w:rPr>
        <w:t>p</w:t>
      </w:r>
      <w:r w:rsidRPr="001B4EA4">
        <w:rPr>
          <w:rFonts w:ascii="Verdana" w:hAnsi="Verdana"/>
          <w:sz w:val="20"/>
          <w:szCs w:val="20"/>
        </w:rPr>
        <w:t>. 145-196, 2005.</w:t>
      </w:r>
    </w:p>
    <w:p w14:paraId="2E9D19BA" w14:textId="42EF7111" w:rsidR="00354C21" w:rsidRPr="001B4EA4" w:rsidRDefault="00354C21" w:rsidP="001B4EA4">
      <w:pPr>
        <w:pStyle w:val="Textodenotaderodap"/>
        <w:suppressLineNumbers/>
        <w:spacing w:after="160" w:line="276" w:lineRule="auto"/>
        <w:jc w:val="both"/>
        <w:rPr>
          <w:rFonts w:ascii="Verdana" w:hAnsi="Verdana"/>
          <w:lang w:val="en-US"/>
        </w:rPr>
      </w:pPr>
      <w:r w:rsidRPr="001B4EA4">
        <w:rPr>
          <w:rFonts w:ascii="Verdana" w:hAnsi="Verdana"/>
        </w:rPr>
        <w:t xml:space="preserve">BARACHO, José Alfredo de Oliveira. Congresso Nacional. Reuniões. Comissões. </w:t>
      </w:r>
      <w:r w:rsidRPr="001B4EA4">
        <w:rPr>
          <w:rFonts w:ascii="Verdana" w:hAnsi="Verdana"/>
          <w:i/>
        </w:rPr>
        <w:t>Revista da Faculdade de Direito da Universidade Federal de Minas Gerais</w:t>
      </w:r>
      <w:r w:rsidRPr="001B4EA4">
        <w:rPr>
          <w:rFonts w:ascii="Verdana" w:hAnsi="Verdana"/>
        </w:rPr>
        <w:t xml:space="preserve">, n. 33, </w:t>
      </w:r>
      <w:r w:rsidRPr="001B4EA4">
        <w:rPr>
          <w:rFonts w:ascii="Verdana" w:hAnsi="Verdana" w:cstheme="minorHAnsi"/>
        </w:rPr>
        <w:t>p</w:t>
      </w:r>
      <w:r w:rsidRPr="001B4EA4">
        <w:rPr>
          <w:rFonts w:ascii="Verdana" w:hAnsi="Verdana"/>
        </w:rPr>
        <w:t>. 213</w:t>
      </w:r>
      <w:r w:rsidR="002644F7" w:rsidRPr="001B4EA4">
        <w:rPr>
          <w:rFonts w:ascii="Verdana" w:hAnsi="Verdana" w:cstheme="minorHAnsi"/>
        </w:rPr>
        <w:t>-</w:t>
      </w:r>
      <w:r w:rsidRPr="001B4EA4">
        <w:rPr>
          <w:rFonts w:ascii="Verdana" w:hAnsi="Verdana"/>
        </w:rPr>
        <w:t xml:space="preserve">240, 1991. Disponível em: &lt;https://www.direito.ufmg.br/revista/index.php/revista/article/view/1429/1358&gt;. </w:t>
      </w:r>
      <w:r w:rsidR="00627403" w:rsidRPr="001B4EA4">
        <w:rPr>
          <w:rFonts w:ascii="Verdana" w:hAnsi="Verdana"/>
          <w:lang w:val="en-US"/>
        </w:rPr>
        <w:t>Acesso em</w:t>
      </w:r>
      <w:r w:rsidR="00627403" w:rsidRPr="001B4EA4">
        <w:rPr>
          <w:rFonts w:ascii="Verdana" w:hAnsi="Verdana" w:cstheme="minorHAnsi"/>
          <w:lang w:val="en-US"/>
        </w:rPr>
        <w:t>:</w:t>
      </w:r>
      <w:r w:rsidR="00627403" w:rsidRPr="001B4EA4">
        <w:rPr>
          <w:rFonts w:ascii="Verdana" w:hAnsi="Verdana"/>
          <w:lang w:val="en-US"/>
        </w:rPr>
        <w:t xml:space="preserve"> 22 jul</w:t>
      </w:r>
      <w:r w:rsidR="00E8333F" w:rsidRPr="001B4EA4">
        <w:rPr>
          <w:rFonts w:ascii="Verdana" w:hAnsi="Verdana"/>
          <w:lang w:val="en-US"/>
        </w:rPr>
        <w:t>.</w:t>
      </w:r>
      <w:r w:rsidR="00627403" w:rsidRPr="001B4EA4">
        <w:rPr>
          <w:rFonts w:ascii="Verdana" w:hAnsi="Verdana"/>
          <w:lang w:val="en-US"/>
        </w:rPr>
        <w:t xml:space="preserve"> 2019.</w:t>
      </w:r>
    </w:p>
    <w:p w14:paraId="5BF0C9FD" w14:textId="126E37BD" w:rsidR="00354C21" w:rsidRPr="001B4EA4" w:rsidRDefault="00354C21" w:rsidP="001B4EA4">
      <w:pPr>
        <w:pStyle w:val="Default"/>
        <w:suppressLineNumbers/>
        <w:spacing w:after="160" w:line="276" w:lineRule="auto"/>
        <w:jc w:val="both"/>
        <w:rPr>
          <w:rFonts w:ascii="Verdana" w:hAnsi="Verdana"/>
          <w:sz w:val="20"/>
          <w:szCs w:val="20"/>
          <w:lang w:val="en-US"/>
        </w:rPr>
      </w:pPr>
      <w:r w:rsidRPr="001B4EA4">
        <w:rPr>
          <w:rFonts w:ascii="Verdana" w:hAnsi="Verdana"/>
          <w:color w:val="2A2A2A"/>
          <w:sz w:val="20"/>
          <w:szCs w:val="20"/>
          <w:bdr w:val="none" w:sz="0" w:space="0" w:color="auto" w:frame="1"/>
          <w:shd w:val="clear" w:color="auto" w:fill="FFFFFF"/>
          <w:lang w:val="en-US"/>
        </w:rPr>
        <w:t>BERG</w:t>
      </w:r>
      <w:r w:rsidRPr="001B4EA4">
        <w:rPr>
          <w:rFonts w:ascii="Verdana" w:hAnsi="Verdana"/>
          <w:smallCaps/>
          <w:color w:val="2A2A2A"/>
          <w:sz w:val="20"/>
          <w:szCs w:val="20"/>
          <w:bdr w:val="none" w:sz="0" w:space="0" w:color="auto" w:frame="1"/>
          <w:shd w:val="clear" w:color="auto" w:fill="FFFFFF"/>
          <w:lang w:val="en-US"/>
        </w:rPr>
        <w:t xml:space="preserve">, </w:t>
      </w:r>
      <w:r w:rsidRPr="001B4EA4">
        <w:rPr>
          <w:rFonts w:ascii="Verdana" w:hAnsi="Verdana"/>
          <w:color w:val="2A2A2A"/>
          <w:sz w:val="20"/>
          <w:szCs w:val="20"/>
          <w:bdr w:val="none" w:sz="0" w:space="0" w:color="auto" w:frame="1"/>
          <w:shd w:val="clear" w:color="auto" w:fill="FFFFFF"/>
          <w:lang w:val="en-US"/>
        </w:rPr>
        <w:t xml:space="preserve">Andrew; BERG, Elliot. </w:t>
      </w:r>
      <w:r w:rsidR="002644F7" w:rsidRPr="001B4EA4">
        <w:rPr>
          <w:rFonts w:ascii="Verdana" w:hAnsi="Verdana" w:cstheme="minorHAnsi"/>
          <w:iCs/>
          <w:color w:val="2A2A2A"/>
          <w:sz w:val="20"/>
          <w:szCs w:val="20"/>
          <w:bdr w:val="none" w:sz="0" w:space="0" w:color="auto" w:frame="1"/>
          <w:shd w:val="clear" w:color="auto" w:fill="FFFFFF"/>
          <w:lang w:val="en-US"/>
        </w:rPr>
        <w:t>“</w:t>
      </w:r>
      <w:r w:rsidRPr="001B4EA4">
        <w:rPr>
          <w:rFonts w:ascii="Verdana" w:hAnsi="Verdana"/>
          <w:color w:val="2A2A2A"/>
          <w:sz w:val="20"/>
          <w:szCs w:val="20"/>
          <w:bdr w:val="none" w:sz="0" w:space="0" w:color="auto" w:frame="1"/>
          <w:shd w:val="clear" w:color="auto" w:fill="FFFFFF"/>
          <w:lang w:val="en-US"/>
        </w:rPr>
        <w:t>Methods of Privatization</w:t>
      </w:r>
      <w:r w:rsidR="002644F7" w:rsidRPr="001B4EA4">
        <w:rPr>
          <w:rFonts w:ascii="Verdana" w:hAnsi="Verdana" w:cstheme="minorHAnsi"/>
          <w:iCs/>
          <w:color w:val="2A2A2A"/>
          <w:sz w:val="20"/>
          <w:szCs w:val="20"/>
          <w:bdr w:val="none" w:sz="0" w:space="0" w:color="auto" w:frame="1"/>
          <w:shd w:val="clear" w:color="auto" w:fill="FFFFFF"/>
          <w:lang w:val="en-US"/>
        </w:rPr>
        <w:t>”</w:t>
      </w:r>
      <w:r w:rsidRPr="001B4EA4">
        <w:rPr>
          <w:rFonts w:ascii="Verdana" w:hAnsi="Verdana" w:cstheme="minorHAnsi"/>
          <w:iCs/>
          <w:color w:val="2A2A2A"/>
          <w:sz w:val="20"/>
          <w:szCs w:val="20"/>
          <w:bdr w:val="none" w:sz="0" w:space="0" w:color="auto" w:frame="1"/>
          <w:shd w:val="clear" w:color="auto" w:fill="FFFFFF"/>
          <w:lang w:val="en-US"/>
        </w:rPr>
        <w:t>.</w:t>
      </w:r>
      <w:r w:rsidRPr="001B4EA4">
        <w:rPr>
          <w:rFonts w:ascii="Verdana" w:hAnsi="Verdana"/>
          <w:i/>
          <w:color w:val="2A2A2A"/>
          <w:sz w:val="20"/>
          <w:szCs w:val="20"/>
          <w:bdr w:val="none" w:sz="0" w:space="0" w:color="auto" w:frame="1"/>
          <w:shd w:val="clear" w:color="auto" w:fill="FFFFFF"/>
          <w:lang w:val="en-US"/>
        </w:rPr>
        <w:t xml:space="preserve"> </w:t>
      </w:r>
      <w:r w:rsidRPr="001B4EA4">
        <w:rPr>
          <w:rFonts w:ascii="Verdana" w:hAnsi="Verdana"/>
          <w:i/>
          <w:sz w:val="20"/>
          <w:szCs w:val="20"/>
          <w:lang w:val="en-US"/>
        </w:rPr>
        <w:t>Journal of International Affairs</w:t>
      </w:r>
      <w:r w:rsidRPr="001B4EA4">
        <w:rPr>
          <w:rFonts w:ascii="Verdana" w:hAnsi="Verdana"/>
          <w:sz w:val="20"/>
          <w:szCs w:val="20"/>
          <w:lang w:val="en-US"/>
        </w:rPr>
        <w:t xml:space="preserve">, v. 50, n. 2 (Political and Economic Challenges), </w:t>
      </w:r>
      <w:r w:rsidRPr="001B4EA4">
        <w:rPr>
          <w:rFonts w:ascii="Verdana" w:hAnsi="Verdana" w:cstheme="minorHAnsi"/>
          <w:sz w:val="20"/>
          <w:szCs w:val="20"/>
          <w:lang w:val="en-US"/>
        </w:rPr>
        <w:t>p</w:t>
      </w:r>
      <w:r w:rsidRPr="001B4EA4">
        <w:rPr>
          <w:rFonts w:ascii="Verdana" w:hAnsi="Verdana"/>
          <w:sz w:val="20"/>
          <w:szCs w:val="20"/>
          <w:lang w:val="en-US"/>
        </w:rPr>
        <w:t>. 357-390, Winter</w:t>
      </w:r>
      <w:r w:rsidR="002644F7" w:rsidRPr="001B4EA4">
        <w:rPr>
          <w:rFonts w:ascii="Verdana" w:hAnsi="Verdana" w:cstheme="minorHAnsi"/>
          <w:sz w:val="20"/>
          <w:szCs w:val="20"/>
          <w:lang w:val="en-US"/>
        </w:rPr>
        <w:t>,</w:t>
      </w:r>
      <w:r w:rsidRPr="001B4EA4">
        <w:rPr>
          <w:rFonts w:ascii="Verdana" w:hAnsi="Verdana"/>
          <w:sz w:val="20"/>
          <w:szCs w:val="20"/>
          <w:lang w:val="en-US"/>
        </w:rPr>
        <w:t xml:space="preserve"> 1997.</w:t>
      </w:r>
    </w:p>
    <w:p w14:paraId="3F81CB72" w14:textId="6FF30E08" w:rsidR="00354C21" w:rsidRPr="001B4EA4" w:rsidRDefault="00354C21" w:rsidP="001B4EA4">
      <w:pPr>
        <w:pStyle w:val="Textodenotaderodap"/>
        <w:suppressLineNumbers/>
        <w:spacing w:after="160" w:line="276" w:lineRule="auto"/>
        <w:jc w:val="both"/>
        <w:rPr>
          <w:rFonts w:ascii="Verdana" w:hAnsi="Verdana"/>
        </w:rPr>
      </w:pPr>
      <w:r w:rsidRPr="001B4EA4">
        <w:rPr>
          <w:rFonts w:ascii="Verdana" w:hAnsi="Verdana"/>
        </w:rPr>
        <w:t>BRASIL. Congresso. Regimento Comum:</w:t>
      </w:r>
      <w:r w:rsidR="002644F7" w:rsidRPr="001B4EA4">
        <w:rPr>
          <w:rFonts w:ascii="Verdana" w:hAnsi="Verdana"/>
        </w:rPr>
        <w:t xml:space="preserve"> Resolução </w:t>
      </w:r>
      <w:r w:rsidR="002644F7" w:rsidRPr="001B4EA4">
        <w:rPr>
          <w:rFonts w:ascii="Verdana" w:hAnsi="Verdana" w:cstheme="minorHAnsi"/>
        </w:rPr>
        <w:t>n.</w:t>
      </w:r>
      <w:r w:rsidRPr="001B4EA4">
        <w:rPr>
          <w:rFonts w:ascii="Verdana" w:hAnsi="Verdana"/>
        </w:rPr>
        <w:t xml:space="preserve"> 1, de 1970-CN (texto consolidado até dezembro de 2015) e normas conexas. Brasília, DF</w:t>
      </w:r>
      <w:r w:rsidR="005F764F" w:rsidRPr="001B4EA4">
        <w:rPr>
          <w:rFonts w:ascii="Verdana" w:hAnsi="Verdana" w:cstheme="minorHAnsi"/>
        </w:rPr>
        <w:t>,</w:t>
      </w:r>
      <w:r w:rsidRPr="001B4EA4">
        <w:rPr>
          <w:rFonts w:ascii="Verdana" w:hAnsi="Verdana"/>
        </w:rPr>
        <w:t xml:space="preserve"> Congresso Nacional, 2015. </w:t>
      </w:r>
    </w:p>
    <w:p w14:paraId="7166BAC3" w14:textId="5A6E36E6" w:rsidR="00354C21" w:rsidRPr="001B4EA4" w:rsidRDefault="00354C21" w:rsidP="001B4EA4">
      <w:pPr>
        <w:pStyle w:val="Textodenotaderodap"/>
        <w:suppressLineNumbers/>
        <w:spacing w:after="160" w:line="276" w:lineRule="auto"/>
        <w:jc w:val="both"/>
        <w:rPr>
          <w:rFonts w:ascii="Verdana" w:hAnsi="Verdana"/>
        </w:rPr>
      </w:pPr>
      <w:r w:rsidRPr="001B4EA4">
        <w:rPr>
          <w:rFonts w:ascii="Verdana" w:hAnsi="Verdana"/>
        </w:rPr>
        <w:t xml:space="preserve">BRASIL. Constituição (1988). </w:t>
      </w:r>
      <w:r w:rsidRPr="001B4EA4">
        <w:rPr>
          <w:rFonts w:ascii="Verdana" w:hAnsi="Verdana"/>
          <w:i/>
        </w:rPr>
        <w:t>Constituição da República Federativa do Brasil</w:t>
      </w:r>
      <w:r w:rsidRPr="001B4EA4">
        <w:rPr>
          <w:rFonts w:ascii="Verdana" w:hAnsi="Verdana"/>
        </w:rPr>
        <w:t>.</w:t>
      </w:r>
      <w:r w:rsidRPr="001B4EA4">
        <w:rPr>
          <w:rFonts w:ascii="Verdana" w:hAnsi="Verdana"/>
          <w:i/>
        </w:rPr>
        <w:t xml:space="preserve"> </w:t>
      </w:r>
      <w:r w:rsidRPr="001B4EA4">
        <w:rPr>
          <w:rFonts w:ascii="Verdana" w:hAnsi="Verdana"/>
        </w:rPr>
        <w:t>Brasília, DF</w:t>
      </w:r>
      <w:r w:rsidR="005F764F" w:rsidRPr="001B4EA4">
        <w:rPr>
          <w:rFonts w:ascii="Verdana" w:hAnsi="Verdana" w:cstheme="minorHAnsi"/>
        </w:rPr>
        <w:t>,</w:t>
      </w:r>
      <w:r w:rsidRPr="001B4EA4">
        <w:rPr>
          <w:rFonts w:ascii="Verdana" w:hAnsi="Verdana"/>
        </w:rPr>
        <w:t xml:space="preserve"> Senado Federal, 1988. </w:t>
      </w:r>
    </w:p>
    <w:p w14:paraId="05B81B92" w14:textId="341667E0" w:rsidR="00627403" w:rsidRPr="001B4EA4" w:rsidRDefault="00354C21" w:rsidP="001B4EA4">
      <w:pPr>
        <w:pStyle w:val="Textodenotaderodap"/>
        <w:suppressLineNumbers/>
        <w:spacing w:after="160" w:line="276" w:lineRule="auto"/>
        <w:jc w:val="both"/>
        <w:rPr>
          <w:rFonts w:ascii="Verdana" w:hAnsi="Verdana"/>
        </w:rPr>
      </w:pPr>
      <w:r w:rsidRPr="001B4EA4">
        <w:rPr>
          <w:rFonts w:ascii="Verdana" w:hAnsi="Verdana"/>
        </w:rPr>
        <w:t>CARVALHO, Afrânio de. Poder Legislativo.</w:t>
      </w:r>
      <w:r w:rsidRPr="001B4EA4">
        <w:rPr>
          <w:rFonts w:ascii="Verdana" w:hAnsi="Verdana"/>
          <w:b/>
        </w:rPr>
        <w:t xml:space="preserve"> </w:t>
      </w:r>
      <w:r w:rsidRPr="001B4EA4">
        <w:rPr>
          <w:rFonts w:ascii="Verdana" w:hAnsi="Verdana"/>
          <w:i/>
        </w:rPr>
        <w:t>Revista de Direito Administrativo</w:t>
      </w:r>
      <w:r w:rsidRPr="001B4EA4">
        <w:rPr>
          <w:rFonts w:ascii="Verdana" w:hAnsi="Verdana"/>
        </w:rPr>
        <w:t>,</w:t>
      </w:r>
      <w:r w:rsidRPr="001B4EA4">
        <w:rPr>
          <w:rFonts w:ascii="Verdana" w:hAnsi="Verdana"/>
          <w:b/>
        </w:rPr>
        <w:t xml:space="preserve"> </w:t>
      </w:r>
      <w:r w:rsidRPr="001B4EA4">
        <w:rPr>
          <w:rFonts w:ascii="Verdana" w:hAnsi="Verdana"/>
        </w:rPr>
        <w:t xml:space="preserve">v. 56, </w:t>
      </w:r>
      <w:r w:rsidRPr="001B4EA4">
        <w:rPr>
          <w:rFonts w:ascii="Verdana" w:hAnsi="Verdana" w:cstheme="minorHAnsi"/>
        </w:rPr>
        <w:t>p</w:t>
      </w:r>
      <w:r w:rsidRPr="001B4EA4">
        <w:rPr>
          <w:rFonts w:ascii="Verdana" w:hAnsi="Verdana"/>
        </w:rPr>
        <w:t>. 29</w:t>
      </w:r>
      <w:r w:rsidR="005F764F" w:rsidRPr="001B4EA4">
        <w:rPr>
          <w:rFonts w:ascii="Verdana" w:hAnsi="Verdana" w:cstheme="minorHAnsi"/>
        </w:rPr>
        <w:t>-</w:t>
      </w:r>
      <w:r w:rsidRPr="001B4EA4">
        <w:rPr>
          <w:rFonts w:ascii="Verdana" w:hAnsi="Verdana"/>
        </w:rPr>
        <w:t>40,</w:t>
      </w:r>
      <w:r w:rsidRPr="001B4EA4">
        <w:rPr>
          <w:rFonts w:ascii="Verdana" w:hAnsi="Verdana"/>
          <w:b/>
        </w:rPr>
        <w:t xml:space="preserve"> </w:t>
      </w:r>
      <w:r w:rsidRPr="001B4EA4">
        <w:rPr>
          <w:rFonts w:ascii="Verdana" w:hAnsi="Verdana"/>
        </w:rPr>
        <w:t>1959.</w:t>
      </w:r>
      <w:r w:rsidRPr="001B4EA4">
        <w:rPr>
          <w:rFonts w:ascii="Verdana" w:hAnsi="Verdana"/>
          <w:b/>
        </w:rPr>
        <w:t xml:space="preserve"> </w:t>
      </w:r>
    </w:p>
    <w:p w14:paraId="65876EB9" w14:textId="5A9BD3E4" w:rsidR="00354C21" w:rsidRPr="001B4EA4" w:rsidRDefault="00354C21" w:rsidP="001B4EA4">
      <w:pPr>
        <w:suppressLineNumbers/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 xml:space="preserve">CASSEB, Paulo Adib. </w:t>
      </w:r>
      <w:r w:rsidRPr="001B4EA4">
        <w:rPr>
          <w:rFonts w:ascii="Verdana" w:hAnsi="Verdana"/>
          <w:i/>
          <w:sz w:val="20"/>
          <w:szCs w:val="20"/>
          <w:lang w:val="pt-BR"/>
        </w:rPr>
        <w:t>Processo legislativo: atuação das comissões permanentes e temporárias</w:t>
      </w:r>
      <w:r w:rsidRPr="001B4EA4">
        <w:rPr>
          <w:rFonts w:ascii="Verdana" w:hAnsi="Verdana"/>
          <w:sz w:val="20"/>
          <w:szCs w:val="20"/>
          <w:lang w:val="pt-BR"/>
        </w:rPr>
        <w:t>. São Paulo</w:t>
      </w:r>
      <w:r w:rsidR="005F764F" w:rsidRPr="001B4EA4">
        <w:rPr>
          <w:rFonts w:ascii="Verdana" w:hAnsi="Verdana" w:cstheme="minorHAnsi"/>
          <w:sz w:val="20"/>
          <w:szCs w:val="20"/>
          <w:lang w:val="pt-BR"/>
        </w:rPr>
        <w:t>,</w:t>
      </w:r>
      <w:r w:rsidRPr="001B4EA4">
        <w:rPr>
          <w:rFonts w:ascii="Verdana" w:hAnsi="Verdana"/>
          <w:sz w:val="20"/>
          <w:szCs w:val="20"/>
          <w:lang w:val="pt-BR"/>
        </w:rPr>
        <w:t xml:space="preserve"> Editora Revista dos Tribunais, 2009. </w:t>
      </w:r>
    </w:p>
    <w:p w14:paraId="17AF9C9B" w14:textId="271CB1AA" w:rsidR="00354C21" w:rsidRPr="001B4EA4" w:rsidRDefault="00354C21" w:rsidP="001B4EA4">
      <w:pPr>
        <w:suppressLineNumbers/>
        <w:spacing w:line="276" w:lineRule="auto"/>
        <w:jc w:val="both"/>
        <w:rPr>
          <w:rFonts w:ascii="Verdana" w:hAnsi="Verdana"/>
          <w:sz w:val="20"/>
          <w:szCs w:val="20"/>
        </w:rPr>
      </w:pPr>
      <w:r w:rsidRPr="001B4EA4">
        <w:rPr>
          <w:rFonts w:ascii="Verdana" w:hAnsi="Verdana"/>
          <w:sz w:val="20"/>
          <w:szCs w:val="20"/>
          <w:lang w:val="pt-BR"/>
        </w:rPr>
        <w:t>CAVACO, Bruno de Sá Barcelos.</w:t>
      </w:r>
      <w:r w:rsidR="00275ED3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Pr="001B4EA4">
        <w:rPr>
          <w:rFonts w:ascii="Verdana" w:hAnsi="Verdana"/>
          <w:i/>
          <w:sz w:val="20"/>
          <w:szCs w:val="20"/>
          <w:lang w:val="pt-BR"/>
        </w:rPr>
        <w:t>Desjudicialização e resolução de conflitos: a participação procedimental e o protagonismo do cidadão na pós-modernidade</w:t>
      </w:r>
      <w:r w:rsidRPr="001B4EA4">
        <w:rPr>
          <w:rFonts w:ascii="Verdana" w:hAnsi="Verdana"/>
          <w:sz w:val="20"/>
          <w:szCs w:val="20"/>
          <w:lang w:val="pt-BR"/>
        </w:rPr>
        <w:t>.</w:t>
      </w:r>
      <w:r w:rsidR="00275ED3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Pr="001B4EA4">
        <w:rPr>
          <w:rFonts w:ascii="Verdana" w:hAnsi="Verdana"/>
          <w:sz w:val="20"/>
          <w:szCs w:val="20"/>
        </w:rPr>
        <w:t>Curitiba</w:t>
      </w:r>
      <w:r w:rsidR="005F764F" w:rsidRPr="001B4EA4">
        <w:rPr>
          <w:rFonts w:ascii="Verdana" w:hAnsi="Verdana" w:cstheme="minorHAnsi"/>
          <w:sz w:val="20"/>
          <w:szCs w:val="20"/>
        </w:rPr>
        <w:t>,</w:t>
      </w:r>
      <w:r w:rsidRPr="001B4EA4">
        <w:rPr>
          <w:rFonts w:ascii="Verdana" w:hAnsi="Verdana"/>
          <w:sz w:val="20"/>
          <w:szCs w:val="20"/>
        </w:rPr>
        <w:t xml:space="preserve"> Juruá</w:t>
      </w:r>
      <w:r w:rsidR="00516C8A" w:rsidRPr="001B4EA4">
        <w:rPr>
          <w:rFonts w:ascii="Verdana" w:hAnsi="Verdana"/>
          <w:sz w:val="20"/>
          <w:szCs w:val="20"/>
        </w:rPr>
        <w:t xml:space="preserve"> Editora</w:t>
      </w:r>
      <w:r w:rsidRPr="001B4EA4">
        <w:rPr>
          <w:rFonts w:ascii="Verdana" w:hAnsi="Verdana"/>
          <w:sz w:val="20"/>
          <w:szCs w:val="20"/>
        </w:rPr>
        <w:t>, 2017.</w:t>
      </w:r>
    </w:p>
    <w:p w14:paraId="4717A147" w14:textId="09A43E2A" w:rsidR="00354C21" w:rsidRPr="001B4EA4" w:rsidRDefault="00354C21" w:rsidP="001B4EA4">
      <w:pPr>
        <w:suppressLineNumbers/>
        <w:spacing w:line="276" w:lineRule="auto"/>
        <w:jc w:val="both"/>
        <w:rPr>
          <w:rFonts w:ascii="Verdana" w:hAnsi="Verdana"/>
          <w:sz w:val="20"/>
          <w:szCs w:val="20"/>
        </w:rPr>
      </w:pPr>
      <w:r w:rsidRPr="001B4EA4">
        <w:rPr>
          <w:rFonts w:ascii="Verdana" w:hAnsi="Verdana"/>
          <w:sz w:val="20"/>
          <w:szCs w:val="20"/>
        </w:rPr>
        <w:t xml:space="preserve">COASE, Ronald H. </w:t>
      </w:r>
      <w:r w:rsidR="005F764F" w:rsidRPr="001B4EA4">
        <w:rPr>
          <w:rFonts w:ascii="Verdana" w:hAnsi="Verdana" w:cstheme="minorHAnsi"/>
          <w:sz w:val="20"/>
          <w:szCs w:val="20"/>
        </w:rPr>
        <w:t>“</w:t>
      </w:r>
      <w:r w:rsidRPr="001B4EA4">
        <w:rPr>
          <w:rFonts w:ascii="Verdana" w:hAnsi="Verdana"/>
          <w:sz w:val="20"/>
          <w:szCs w:val="20"/>
        </w:rPr>
        <w:t>The lighthouse in economics</w:t>
      </w:r>
      <w:r w:rsidR="005F764F" w:rsidRPr="001B4EA4">
        <w:rPr>
          <w:rFonts w:ascii="Verdana" w:hAnsi="Verdana" w:cstheme="minorHAnsi"/>
          <w:sz w:val="20"/>
          <w:szCs w:val="20"/>
        </w:rPr>
        <w:t>”</w:t>
      </w:r>
      <w:r w:rsidRPr="001B4EA4">
        <w:rPr>
          <w:rFonts w:ascii="Verdana" w:hAnsi="Verdana" w:cstheme="minorHAnsi"/>
          <w:sz w:val="20"/>
          <w:szCs w:val="20"/>
        </w:rPr>
        <w:t>.</w:t>
      </w:r>
      <w:r w:rsidRPr="001B4EA4">
        <w:rPr>
          <w:rFonts w:ascii="Verdana" w:hAnsi="Verdana"/>
          <w:i/>
          <w:sz w:val="20"/>
          <w:szCs w:val="20"/>
        </w:rPr>
        <w:t xml:space="preserve"> Journal of Law and Economics</w:t>
      </w:r>
      <w:r w:rsidRPr="001B4EA4">
        <w:rPr>
          <w:rFonts w:ascii="Verdana" w:hAnsi="Verdana"/>
          <w:sz w:val="20"/>
          <w:szCs w:val="20"/>
        </w:rPr>
        <w:t xml:space="preserve">, v. 17, n. 2, </w:t>
      </w:r>
      <w:r w:rsidRPr="001B4EA4">
        <w:rPr>
          <w:rFonts w:ascii="Verdana" w:hAnsi="Verdana" w:cstheme="minorHAnsi"/>
          <w:sz w:val="20"/>
          <w:szCs w:val="20"/>
        </w:rPr>
        <w:t>p</w:t>
      </w:r>
      <w:r w:rsidRPr="001B4EA4">
        <w:rPr>
          <w:rFonts w:ascii="Verdana" w:hAnsi="Verdana"/>
          <w:sz w:val="20"/>
          <w:szCs w:val="20"/>
        </w:rPr>
        <w:t>. 357-376, 1974.</w:t>
      </w:r>
    </w:p>
    <w:p w14:paraId="7092F8C2" w14:textId="162E8435" w:rsidR="00354C21" w:rsidRPr="001B4EA4" w:rsidRDefault="00354C21" w:rsidP="001B4EA4">
      <w:pPr>
        <w:suppressLineNumbers/>
        <w:spacing w:line="276" w:lineRule="auto"/>
        <w:jc w:val="both"/>
        <w:rPr>
          <w:rFonts w:ascii="Verdana" w:hAnsi="Verdana"/>
          <w:i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 xml:space="preserve">ERTHAL DE CARVALHO, Juliane; COSTA, Camila Batista Rodrigues. </w:t>
      </w:r>
      <w:r w:rsidR="005F764F" w:rsidRPr="001B4EA4">
        <w:rPr>
          <w:rFonts w:ascii="Verdana" w:hAnsi="Verdana" w:cstheme="minorHAnsi"/>
          <w:sz w:val="20"/>
          <w:szCs w:val="20"/>
          <w:lang w:val="pt-BR"/>
        </w:rPr>
        <w:t>“</w:t>
      </w:r>
      <w:r w:rsidRPr="001B4EA4">
        <w:rPr>
          <w:rFonts w:ascii="Verdana" w:hAnsi="Verdana"/>
          <w:sz w:val="20"/>
          <w:szCs w:val="20"/>
          <w:lang w:val="pt-BR"/>
        </w:rPr>
        <w:t>Fiscalização das empresas estatais pelo Tribunal de Contas</w:t>
      </w:r>
      <w:r w:rsidR="005F764F" w:rsidRPr="001B4EA4">
        <w:rPr>
          <w:rFonts w:ascii="Verdana" w:hAnsi="Verdana" w:cstheme="minorHAnsi"/>
          <w:bCs/>
          <w:sz w:val="20"/>
          <w:szCs w:val="20"/>
          <w:lang w:val="pt-BR"/>
        </w:rPr>
        <w:t>”.</w:t>
      </w:r>
      <w:r w:rsidRPr="001B4EA4">
        <w:rPr>
          <w:rFonts w:ascii="Verdana" w:hAnsi="Verdana" w:cstheme="minorHAnsi"/>
          <w:sz w:val="20"/>
          <w:szCs w:val="20"/>
          <w:lang w:val="pt-BR"/>
        </w:rPr>
        <w:t xml:space="preserve"> </w:t>
      </w:r>
      <w:r w:rsidR="005F764F" w:rsidRPr="001B4EA4">
        <w:rPr>
          <w:rFonts w:ascii="Verdana" w:hAnsi="Verdana" w:cstheme="minorHAnsi"/>
          <w:sz w:val="20"/>
          <w:szCs w:val="20"/>
          <w:lang w:val="pt-BR"/>
        </w:rPr>
        <w:t>I</w:t>
      </w:r>
      <w:r w:rsidRPr="001B4EA4">
        <w:rPr>
          <w:rFonts w:ascii="Verdana" w:hAnsi="Verdana" w:cstheme="minorHAnsi"/>
          <w:sz w:val="20"/>
          <w:szCs w:val="20"/>
          <w:lang w:val="pt-BR"/>
        </w:rPr>
        <w:t>n</w:t>
      </w:r>
      <w:r w:rsidR="005F764F" w:rsidRPr="001B4EA4">
        <w:rPr>
          <w:rFonts w:ascii="Verdana" w:hAnsi="Verdana" w:cstheme="minorHAnsi"/>
          <w:sz w:val="20"/>
          <w:szCs w:val="20"/>
          <w:lang w:val="pt-BR"/>
        </w:rPr>
        <w:t>:</w:t>
      </w:r>
      <w:r w:rsidRPr="001B4EA4">
        <w:rPr>
          <w:rFonts w:ascii="Verdana" w:hAnsi="Verdana"/>
          <w:i/>
          <w:sz w:val="20"/>
          <w:szCs w:val="20"/>
          <w:lang w:val="pt-BR"/>
        </w:rPr>
        <w:t xml:space="preserve"> </w:t>
      </w:r>
      <w:r w:rsidRPr="001B4EA4">
        <w:rPr>
          <w:rFonts w:ascii="Verdana" w:hAnsi="Verdana"/>
          <w:sz w:val="20"/>
          <w:szCs w:val="20"/>
          <w:lang w:val="pt-BR"/>
        </w:rPr>
        <w:t>JUSTEN FILHO, Marçal (</w:t>
      </w:r>
      <w:r w:rsidR="005F764F" w:rsidRPr="001B4EA4">
        <w:rPr>
          <w:rFonts w:ascii="Verdana" w:hAnsi="Verdana" w:cstheme="minorHAnsi"/>
          <w:sz w:val="20"/>
          <w:szCs w:val="20"/>
          <w:lang w:val="pt-BR"/>
        </w:rPr>
        <w:t>o</w:t>
      </w:r>
      <w:r w:rsidRPr="001B4EA4">
        <w:rPr>
          <w:rFonts w:ascii="Verdana" w:hAnsi="Verdana" w:cstheme="minorHAnsi"/>
          <w:sz w:val="20"/>
          <w:szCs w:val="20"/>
          <w:lang w:val="pt-BR"/>
        </w:rPr>
        <w:t>rg</w:t>
      </w:r>
      <w:r w:rsidRPr="001B4EA4">
        <w:rPr>
          <w:rFonts w:ascii="Verdana" w:hAnsi="Verdana"/>
          <w:sz w:val="20"/>
          <w:szCs w:val="20"/>
          <w:lang w:val="pt-BR"/>
        </w:rPr>
        <w:t>.)</w:t>
      </w:r>
      <w:r w:rsidR="004D1B39" w:rsidRPr="001B4EA4">
        <w:rPr>
          <w:rFonts w:ascii="Verdana" w:hAnsi="Verdana"/>
          <w:sz w:val="20"/>
          <w:szCs w:val="20"/>
          <w:lang w:val="pt-BR"/>
        </w:rPr>
        <w:t>.</w:t>
      </w:r>
      <w:r w:rsidR="004D1B39" w:rsidRPr="001B4EA4">
        <w:rPr>
          <w:rFonts w:ascii="Verdana" w:hAnsi="Verdana"/>
          <w:b/>
          <w:sz w:val="20"/>
          <w:szCs w:val="20"/>
          <w:lang w:val="pt-BR"/>
        </w:rPr>
        <w:t xml:space="preserve"> </w:t>
      </w:r>
      <w:r w:rsidRPr="001B4EA4">
        <w:rPr>
          <w:rFonts w:ascii="Verdana" w:hAnsi="Verdana"/>
          <w:i/>
          <w:sz w:val="20"/>
          <w:szCs w:val="20"/>
          <w:lang w:val="pt-BR"/>
        </w:rPr>
        <w:t>Estatuto jurídico das empresas estatais</w:t>
      </w:r>
      <w:r w:rsidRPr="001B4EA4">
        <w:rPr>
          <w:rFonts w:ascii="Verdana" w:hAnsi="Verdana"/>
          <w:sz w:val="20"/>
          <w:szCs w:val="20"/>
          <w:lang w:val="pt-BR"/>
        </w:rPr>
        <w:t>.</w:t>
      </w:r>
      <w:r w:rsidR="00275ED3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Pr="001B4EA4">
        <w:rPr>
          <w:rFonts w:ascii="Verdana" w:hAnsi="Verdana"/>
          <w:sz w:val="20"/>
          <w:szCs w:val="20"/>
          <w:lang w:val="pt-BR"/>
        </w:rPr>
        <w:t>São Paulo</w:t>
      </w:r>
      <w:r w:rsidR="005F764F" w:rsidRPr="001B4EA4">
        <w:rPr>
          <w:rFonts w:ascii="Verdana" w:hAnsi="Verdana" w:cstheme="minorHAnsi"/>
          <w:sz w:val="20"/>
          <w:szCs w:val="20"/>
          <w:lang w:val="pt-BR"/>
        </w:rPr>
        <w:t>,</w:t>
      </w:r>
      <w:r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="00C4222B" w:rsidRPr="001B4EA4">
        <w:rPr>
          <w:rFonts w:ascii="Verdana" w:hAnsi="Verdana"/>
          <w:sz w:val="20"/>
          <w:szCs w:val="20"/>
          <w:lang w:val="pt-BR"/>
        </w:rPr>
        <w:t>RT</w:t>
      </w:r>
      <w:r w:rsidRPr="001B4EA4">
        <w:rPr>
          <w:rFonts w:ascii="Verdana" w:hAnsi="Verdana"/>
          <w:sz w:val="20"/>
          <w:szCs w:val="20"/>
          <w:lang w:val="pt-BR"/>
        </w:rPr>
        <w:t xml:space="preserve">, </w:t>
      </w:r>
      <w:r w:rsidRPr="001B4EA4">
        <w:rPr>
          <w:rFonts w:ascii="Verdana" w:hAnsi="Verdana" w:cstheme="minorHAnsi"/>
          <w:sz w:val="20"/>
          <w:szCs w:val="20"/>
          <w:lang w:val="pt-BR"/>
        </w:rPr>
        <w:t>p</w:t>
      </w:r>
      <w:r w:rsidRPr="001B4EA4">
        <w:rPr>
          <w:rFonts w:ascii="Verdana" w:hAnsi="Verdana"/>
          <w:sz w:val="20"/>
          <w:szCs w:val="20"/>
          <w:lang w:val="pt-BR"/>
        </w:rPr>
        <w:t>. 607-625</w:t>
      </w:r>
      <w:r w:rsidR="004D1B39" w:rsidRPr="001B4EA4">
        <w:rPr>
          <w:rFonts w:ascii="Verdana" w:hAnsi="Verdana"/>
          <w:sz w:val="20"/>
          <w:szCs w:val="20"/>
          <w:lang w:val="pt-BR"/>
        </w:rPr>
        <w:t>, 2016</w:t>
      </w:r>
      <w:r w:rsidRPr="001B4EA4">
        <w:rPr>
          <w:rFonts w:ascii="Verdana" w:hAnsi="Verdana"/>
          <w:sz w:val="20"/>
          <w:szCs w:val="20"/>
          <w:lang w:val="pt-BR"/>
        </w:rPr>
        <w:t xml:space="preserve">. </w:t>
      </w:r>
    </w:p>
    <w:p w14:paraId="515E0DC1" w14:textId="3F28390C" w:rsidR="00354C21" w:rsidRPr="001B4EA4" w:rsidRDefault="00354C21" w:rsidP="001B4EA4">
      <w:pPr>
        <w:pStyle w:val="Textodenotaderodap"/>
        <w:suppressLineNumbers/>
        <w:spacing w:after="160" w:line="276" w:lineRule="auto"/>
        <w:jc w:val="both"/>
        <w:rPr>
          <w:rFonts w:ascii="Verdana" w:hAnsi="Verdana"/>
        </w:rPr>
      </w:pPr>
      <w:r w:rsidRPr="001B4EA4">
        <w:rPr>
          <w:rFonts w:ascii="Verdana" w:hAnsi="Verdana"/>
          <w:color w:val="000000"/>
          <w:shd w:val="clear" w:color="auto" w:fill="FFFFFF"/>
        </w:rPr>
        <w:t>FERREIRA FILHO, Manoel Gonçalves.</w:t>
      </w:r>
      <w:r w:rsidRPr="001B4EA4">
        <w:rPr>
          <w:rFonts w:ascii="Verdana" w:hAnsi="Verdana"/>
          <w:b/>
          <w:color w:val="000000"/>
          <w:bdr w:val="none" w:sz="0" w:space="0" w:color="auto" w:frame="1"/>
          <w:shd w:val="clear" w:color="auto" w:fill="FFFFFF"/>
        </w:rPr>
        <w:t> </w:t>
      </w:r>
      <w:r w:rsidRPr="001B4EA4">
        <w:rPr>
          <w:rFonts w:ascii="Verdana" w:hAnsi="Verdana"/>
          <w:i/>
          <w:color w:val="000000"/>
          <w:bdr w:val="none" w:sz="0" w:space="0" w:color="auto" w:frame="1"/>
          <w:shd w:val="clear" w:color="auto" w:fill="FFFFFF"/>
        </w:rPr>
        <w:t>Do processo legislativo</w:t>
      </w:r>
      <w:r w:rsidRPr="001B4EA4"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.</w:t>
      </w:r>
      <w:r w:rsidR="005F764F" w:rsidRPr="001B4EA4">
        <w:rPr>
          <w:rFonts w:ascii="Verdana" w:hAnsi="Verdana"/>
          <w:color w:val="000000"/>
          <w:shd w:val="clear" w:color="auto" w:fill="FFFFFF"/>
        </w:rPr>
        <w:t> </w:t>
      </w:r>
      <w:r w:rsidR="005F764F" w:rsidRPr="001B4EA4">
        <w:rPr>
          <w:rFonts w:ascii="Verdana" w:hAnsi="Verdana" w:cstheme="minorHAnsi"/>
          <w:color w:val="000000"/>
          <w:shd w:val="clear" w:color="auto" w:fill="FFFFFF"/>
        </w:rPr>
        <w:t>7.</w:t>
      </w:r>
      <w:r w:rsidRPr="001B4EA4">
        <w:rPr>
          <w:rFonts w:ascii="Verdana" w:hAnsi="Verdana" w:cstheme="minorHAnsi"/>
          <w:color w:val="000000"/>
          <w:shd w:val="clear" w:color="auto" w:fill="FFFFFF"/>
        </w:rPr>
        <w:t xml:space="preserve"> </w:t>
      </w:r>
      <w:r w:rsidR="005F764F" w:rsidRPr="001B4EA4">
        <w:rPr>
          <w:rFonts w:ascii="Verdana" w:hAnsi="Verdana" w:cstheme="minorHAnsi"/>
          <w:color w:val="000000"/>
          <w:shd w:val="clear" w:color="auto" w:fill="FFFFFF"/>
        </w:rPr>
        <w:t>e</w:t>
      </w:r>
      <w:r w:rsidRPr="001B4EA4">
        <w:rPr>
          <w:rFonts w:ascii="Verdana" w:hAnsi="Verdana" w:cstheme="minorHAnsi"/>
          <w:color w:val="000000"/>
          <w:shd w:val="clear" w:color="auto" w:fill="FFFFFF"/>
        </w:rPr>
        <w:t>d.</w:t>
      </w:r>
      <w:r w:rsidR="005F764F" w:rsidRPr="001B4EA4">
        <w:rPr>
          <w:rFonts w:ascii="Verdana" w:hAnsi="Verdana" w:cstheme="minorHAnsi"/>
          <w:color w:val="000000"/>
          <w:shd w:val="clear" w:color="auto" w:fill="FFFFFF"/>
        </w:rPr>
        <w:t>,</w:t>
      </w:r>
      <w:r w:rsidRPr="001B4EA4">
        <w:rPr>
          <w:rFonts w:ascii="Verdana" w:hAnsi="Verdana"/>
          <w:color w:val="000000"/>
          <w:shd w:val="clear" w:color="auto" w:fill="FFFFFF"/>
        </w:rPr>
        <w:t xml:space="preserve"> São Paulo</w:t>
      </w:r>
      <w:r w:rsidR="005F764F" w:rsidRPr="001B4EA4">
        <w:rPr>
          <w:rFonts w:ascii="Verdana" w:hAnsi="Verdana" w:cstheme="minorHAnsi"/>
          <w:color w:val="000000"/>
          <w:shd w:val="clear" w:color="auto" w:fill="FFFFFF"/>
        </w:rPr>
        <w:t>,</w:t>
      </w:r>
      <w:r w:rsidRPr="001B4EA4">
        <w:rPr>
          <w:rFonts w:ascii="Verdana" w:hAnsi="Verdana"/>
          <w:color w:val="000000"/>
          <w:shd w:val="clear" w:color="auto" w:fill="FFFFFF"/>
        </w:rPr>
        <w:t xml:space="preserve"> Saraiva, 2012. </w:t>
      </w:r>
    </w:p>
    <w:p w14:paraId="204298E1" w14:textId="6ABA7073" w:rsidR="00354C21" w:rsidRPr="001B4EA4" w:rsidRDefault="00354C21" w:rsidP="001B4EA4">
      <w:pPr>
        <w:suppressLineNumbers/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>FIDALGO, Carolina Barros.</w:t>
      </w:r>
      <w:r w:rsidR="00275ED3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Pr="001B4EA4">
        <w:rPr>
          <w:rFonts w:ascii="Verdana" w:hAnsi="Verdana"/>
          <w:i/>
          <w:sz w:val="20"/>
          <w:szCs w:val="20"/>
          <w:lang w:val="pt-BR"/>
        </w:rPr>
        <w:t>O Estado Empresário</w:t>
      </w:r>
      <w:r w:rsidRPr="001B4EA4">
        <w:rPr>
          <w:rFonts w:ascii="Verdana" w:hAnsi="Verdana"/>
          <w:sz w:val="20"/>
          <w:szCs w:val="20"/>
          <w:lang w:val="pt-BR"/>
        </w:rPr>
        <w:t>.</w:t>
      </w:r>
      <w:r w:rsidR="00275ED3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Pr="001B4EA4">
        <w:rPr>
          <w:rFonts w:ascii="Verdana" w:hAnsi="Verdana"/>
          <w:sz w:val="20"/>
          <w:szCs w:val="20"/>
          <w:lang w:val="pt-BR"/>
        </w:rPr>
        <w:t>São Paulo</w:t>
      </w:r>
      <w:r w:rsidR="005F764F" w:rsidRPr="001B4EA4">
        <w:rPr>
          <w:rFonts w:ascii="Verdana" w:hAnsi="Verdana" w:cstheme="minorHAnsi"/>
          <w:sz w:val="20"/>
          <w:szCs w:val="20"/>
          <w:lang w:val="pt-BR"/>
        </w:rPr>
        <w:t>,</w:t>
      </w:r>
      <w:r w:rsidRPr="001B4EA4">
        <w:rPr>
          <w:rFonts w:ascii="Verdana" w:hAnsi="Verdana"/>
          <w:sz w:val="20"/>
          <w:szCs w:val="20"/>
          <w:lang w:val="pt-BR"/>
        </w:rPr>
        <w:t xml:space="preserve"> Almedina, 2017.</w:t>
      </w:r>
    </w:p>
    <w:p w14:paraId="35EFBB91" w14:textId="4378173B" w:rsidR="00354C21" w:rsidRPr="001B4EA4" w:rsidRDefault="00354C21" w:rsidP="001B4EA4">
      <w:pPr>
        <w:suppressLineNumbers/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>GOMES, Fábio Bellote.</w:t>
      </w:r>
      <w:r w:rsidR="00275ED3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Pr="001B4EA4">
        <w:rPr>
          <w:rFonts w:ascii="Verdana" w:hAnsi="Verdana"/>
          <w:i/>
          <w:sz w:val="20"/>
          <w:szCs w:val="20"/>
          <w:lang w:val="pt-BR"/>
        </w:rPr>
        <w:t>Elementos de Direito Administrativo</w:t>
      </w:r>
      <w:r w:rsidRPr="001B4EA4">
        <w:rPr>
          <w:rFonts w:ascii="Verdana" w:hAnsi="Verdana"/>
          <w:sz w:val="20"/>
          <w:szCs w:val="20"/>
          <w:lang w:val="pt-BR"/>
        </w:rPr>
        <w:t>.</w:t>
      </w:r>
      <w:r w:rsidR="00275ED3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="005F764F" w:rsidRPr="001B4EA4">
        <w:rPr>
          <w:rFonts w:ascii="Verdana" w:hAnsi="Verdana" w:cstheme="minorHAnsi"/>
          <w:sz w:val="20"/>
          <w:szCs w:val="20"/>
          <w:lang w:val="pt-BR"/>
        </w:rPr>
        <w:t>2.</w:t>
      </w:r>
      <w:r w:rsidRPr="001B4EA4">
        <w:rPr>
          <w:rFonts w:ascii="Verdana" w:hAnsi="Verdana"/>
          <w:sz w:val="20"/>
          <w:szCs w:val="20"/>
          <w:lang w:val="pt-BR"/>
        </w:rPr>
        <w:t xml:space="preserve"> ed</w:t>
      </w:r>
      <w:r w:rsidRPr="001B4EA4">
        <w:rPr>
          <w:rFonts w:ascii="Verdana" w:hAnsi="Verdana" w:cstheme="minorHAnsi"/>
          <w:sz w:val="20"/>
          <w:szCs w:val="20"/>
          <w:lang w:val="pt-BR"/>
        </w:rPr>
        <w:t>.</w:t>
      </w:r>
      <w:r w:rsidR="005F764F" w:rsidRPr="001B4EA4">
        <w:rPr>
          <w:rFonts w:ascii="Verdana" w:hAnsi="Verdana" w:cstheme="minorHAnsi"/>
          <w:sz w:val="20"/>
          <w:szCs w:val="20"/>
          <w:lang w:val="pt-BR"/>
        </w:rPr>
        <w:t>,</w:t>
      </w:r>
      <w:r w:rsidRPr="001B4EA4">
        <w:rPr>
          <w:rFonts w:ascii="Verdana" w:hAnsi="Verdana"/>
          <w:sz w:val="20"/>
          <w:szCs w:val="20"/>
          <w:lang w:val="pt-BR"/>
        </w:rPr>
        <w:t xml:space="preserve"> São Paulo</w:t>
      </w:r>
      <w:r w:rsidR="005F764F" w:rsidRPr="001B4EA4">
        <w:rPr>
          <w:rFonts w:ascii="Verdana" w:hAnsi="Verdana" w:cstheme="minorHAnsi"/>
          <w:sz w:val="20"/>
          <w:szCs w:val="20"/>
          <w:lang w:val="pt-BR"/>
        </w:rPr>
        <w:t>,</w:t>
      </w:r>
      <w:r w:rsidRPr="001B4EA4">
        <w:rPr>
          <w:rFonts w:ascii="Verdana" w:hAnsi="Verdana"/>
          <w:sz w:val="20"/>
          <w:szCs w:val="20"/>
          <w:lang w:val="pt-BR"/>
        </w:rPr>
        <w:t xml:space="preserve"> Saraiva, 2012.</w:t>
      </w:r>
    </w:p>
    <w:p w14:paraId="48FB7C9F" w14:textId="77A012C9" w:rsidR="00354C21" w:rsidRPr="001B4EA4" w:rsidRDefault="00354C21" w:rsidP="001B4EA4">
      <w:pPr>
        <w:suppressLineNumbers/>
        <w:spacing w:line="276" w:lineRule="auto"/>
        <w:jc w:val="both"/>
        <w:rPr>
          <w:rFonts w:ascii="Verdana" w:hAnsi="Verdana"/>
          <w:sz w:val="20"/>
          <w:szCs w:val="20"/>
        </w:rPr>
      </w:pPr>
      <w:r w:rsidRPr="001B4EA4">
        <w:rPr>
          <w:rFonts w:ascii="Verdana" w:hAnsi="Verdana"/>
          <w:sz w:val="20"/>
          <w:szCs w:val="20"/>
          <w:lang w:val="pt-BR"/>
        </w:rPr>
        <w:t>GRAU, Eros Roberto.</w:t>
      </w:r>
      <w:r w:rsidR="00275ED3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Pr="001B4EA4">
        <w:rPr>
          <w:rFonts w:ascii="Verdana" w:hAnsi="Verdana"/>
          <w:i/>
          <w:sz w:val="20"/>
          <w:szCs w:val="20"/>
          <w:lang w:val="pt-BR"/>
        </w:rPr>
        <w:t>Por que tenho medo dos juízes</w:t>
      </w:r>
      <w:r w:rsidRPr="001B4EA4">
        <w:rPr>
          <w:rFonts w:ascii="Verdana" w:hAnsi="Verdana"/>
          <w:b/>
          <w:sz w:val="20"/>
          <w:szCs w:val="20"/>
          <w:lang w:val="pt-BR"/>
        </w:rPr>
        <w:t xml:space="preserve"> </w:t>
      </w:r>
      <w:r w:rsidRPr="001B4EA4">
        <w:rPr>
          <w:rFonts w:ascii="Verdana" w:hAnsi="Verdana"/>
          <w:i/>
          <w:sz w:val="20"/>
          <w:szCs w:val="20"/>
          <w:lang w:val="pt-BR"/>
        </w:rPr>
        <w:t>(a interpretação/aplicação do direito e os princípios)</w:t>
      </w:r>
      <w:r w:rsidRPr="001B4EA4">
        <w:rPr>
          <w:rFonts w:ascii="Verdana" w:hAnsi="Verdana"/>
          <w:sz w:val="20"/>
          <w:szCs w:val="20"/>
          <w:lang w:val="pt-BR"/>
        </w:rPr>
        <w:t>.</w:t>
      </w:r>
      <w:r w:rsidR="00275ED3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="005F764F" w:rsidRPr="001B4EA4">
        <w:rPr>
          <w:rFonts w:ascii="Verdana" w:hAnsi="Verdana" w:cstheme="minorHAnsi"/>
          <w:sz w:val="20"/>
          <w:szCs w:val="20"/>
        </w:rPr>
        <w:t>6.</w:t>
      </w:r>
      <w:r w:rsidRPr="001B4EA4">
        <w:rPr>
          <w:rFonts w:ascii="Verdana" w:hAnsi="Verdana"/>
          <w:sz w:val="20"/>
          <w:szCs w:val="20"/>
        </w:rPr>
        <w:t xml:space="preserve"> ed.</w:t>
      </w:r>
      <w:r w:rsidR="00275ED3" w:rsidRPr="001B4EA4">
        <w:rPr>
          <w:rFonts w:ascii="Verdana" w:hAnsi="Verdana"/>
          <w:sz w:val="20"/>
          <w:szCs w:val="20"/>
        </w:rPr>
        <w:t xml:space="preserve"> </w:t>
      </w:r>
      <w:r w:rsidRPr="001B4EA4">
        <w:rPr>
          <w:rFonts w:ascii="Verdana" w:hAnsi="Verdana"/>
          <w:sz w:val="20"/>
          <w:szCs w:val="20"/>
        </w:rPr>
        <w:t>São Paulo</w:t>
      </w:r>
      <w:r w:rsidR="005F764F" w:rsidRPr="001B4EA4">
        <w:rPr>
          <w:rFonts w:ascii="Verdana" w:hAnsi="Verdana" w:cstheme="minorHAnsi"/>
          <w:sz w:val="20"/>
          <w:szCs w:val="20"/>
        </w:rPr>
        <w:t>,</w:t>
      </w:r>
      <w:r w:rsidRPr="001B4EA4">
        <w:rPr>
          <w:rFonts w:ascii="Verdana" w:hAnsi="Verdana"/>
          <w:sz w:val="20"/>
          <w:szCs w:val="20"/>
        </w:rPr>
        <w:t xml:space="preserve"> Malheiros, 2013.</w:t>
      </w:r>
    </w:p>
    <w:p w14:paraId="72E8BC85" w14:textId="0C6CDBF2" w:rsidR="00354C21" w:rsidRPr="001B4EA4" w:rsidRDefault="00354C21" w:rsidP="001B4EA4">
      <w:pPr>
        <w:suppressLineNumbers/>
        <w:spacing w:line="276" w:lineRule="auto"/>
        <w:jc w:val="both"/>
        <w:rPr>
          <w:rFonts w:ascii="Verdana" w:hAnsi="Verdana"/>
          <w:sz w:val="20"/>
          <w:szCs w:val="20"/>
        </w:rPr>
      </w:pPr>
      <w:r w:rsidRPr="001B4EA4">
        <w:rPr>
          <w:rFonts w:ascii="Verdana" w:hAnsi="Verdana"/>
          <w:sz w:val="20"/>
          <w:szCs w:val="20"/>
        </w:rPr>
        <w:t xml:space="preserve">GREEN, Richard. </w:t>
      </w:r>
      <w:r w:rsidR="005F764F" w:rsidRPr="001B4EA4">
        <w:rPr>
          <w:rFonts w:ascii="Verdana" w:hAnsi="Verdana" w:cstheme="minorHAnsi"/>
          <w:sz w:val="20"/>
          <w:szCs w:val="20"/>
        </w:rPr>
        <w:t>“</w:t>
      </w:r>
      <w:r w:rsidRPr="001B4EA4">
        <w:rPr>
          <w:rFonts w:ascii="Verdana" w:hAnsi="Verdana"/>
          <w:sz w:val="20"/>
          <w:szCs w:val="20"/>
        </w:rPr>
        <w:t>Reshaping the CEGB: Electric privatization in the UK</w:t>
      </w:r>
      <w:r w:rsidR="005F764F" w:rsidRPr="001B4EA4">
        <w:rPr>
          <w:rFonts w:ascii="Verdana" w:hAnsi="Verdana" w:cstheme="minorHAnsi"/>
          <w:sz w:val="20"/>
          <w:szCs w:val="20"/>
        </w:rPr>
        <w:t>”</w:t>
      </w:r>
      <w:r w:rsidRPr="001B4EA4">
        <w:rPr>
          <w:rFonts w:ascii="Verdana" w:hAnsi="Verdana" w:cstheme="minorHAnsi"/>
          <w:sz w:val="20"/>
          <w:szCs w:val="20"/>
        </w:rPr>
        <w:t>.</w:t>
      </w:r>
      <w:r w:rsidRPr="001B4EA4">
        <w:rPr>
          <w:rFonts w:ascii="Verdana" w:hAnsi="Verdana"/>
          <w:sz w:val="20"/>
          <w:szCs w:val="20"/>
        </w:rPr>
        <w:t xml:space="preserve"> </w:t>
      </w:r>
      <w:r w:rsidRPr="001B4EA4">
        <w:rPr>
          <w:rFonts w:ascii="Verdana" w:hAnsi="Verdana"/>
          <w:i/>
          <w:sz w:val="20"/>
          <w:szCs w:val="20"/>
        </w:rPr>
        <w:t>Utilities Policy</w:t>
      </w:r>
      <w:r w:rsidRPr="001B4EA4">
        <w:rPr>
          <w:rFonts w:ascii="Verdana" w:hAnsi="Verdana"/>
          <w:sz w:val="20"/>
          <w:szCs w:val="20"/>
        </w:rPr>
        <w:t xml:space="preserve">, </w:t>
      </w:r>
      <w:r w:rsidR="009E1133" w:rsidRPr="001B4EA4">
        <w:rPr>
          <w:rFonts w:ascii="Verdana" w:hAnsi="Verdana"/>
          <w:sz w:val="20"/>
          <w:szCs w:val="20"/>
        </w:rPr>
        <w:t xml:space="preserve">v. 1(3), </w:t>
      </w:r>
      <w:r w:rsidRPr="001B4EA4">
        <w:rPr>
          <w:rFonts w:ascii="Verdana" w:hAnsi="Verdana" w:cstheme="minorHAnsi"/>
          <w:sz w:val="20"/>
          <w:szCs w:val="20"/>
        </w:rPr>
        <w:t>p</w:t>
      </w:r>
      <w:r w:rsidRPr="001B4EA4">
        <w:rPr>
          <w:rFonts w:ascii="Verdana" w:hAnsi="Verdana"/>
          <w:sz w:val="20"/>
          <w:szCs w:val="20"/>
        </w:rPr>
        <w:t xml:space="preserve">. 245-254, </w:t>
      </w:r>
      <w:r w:rsidR="005F764F" w:rsidRPr="001B4EA4">
        <w:rPr>
          <w:rFonts w:ascii="Verdana" w:hAnsi="Verdana" w:cstheme="minorHAnsi"/>
          <w:sz w:val="20"/>
          <w:szCs w:val="20"/>
        </w:rPr>
        <w:t>apr</w:t>
      </w:r>
      <w:r w:rsidRPr="001B4EA4">
        <w:rPr>
          <w:rFonts w:ascii="Verdana" w:hAnsi="Verdana"/>
          <w:sz w:val="20"/>
          <w:szCs w:val="20"/>
        </w:rPr>
        <w:t xml:space="preserve"> 1991.</w:t>
      </w:r>
    </w:p>
    <w:p w14:paraId="65953592" w14:textId="38BB81BC" w:rsidR="00354C21" w:rsidRPr="001B4EA4" w:rsidRDefault="00354C21" w:rsidP="001B4EA4">
      <w:pPr>
        <w:suppressLineNumbers/>
        <w:spacing w:line="276" w:lineRule="auto"/>
        <w:jc w:val="both"/>
        <w:rPr>
          <w:rFonts w:ascii="Verdana" w:hAnsi="Verdana"/>
          <w:sz w:val="20"/>
          <w:szCs w:val="20"/>
        </w:rPr>
      </w:pPr>
      <w:r w:rsidRPr="001B4EA4">
        <w:rPr>
          <w:rFonts w:ascii="Verdana" w:hAnsi="Verdana"/>
          <w:sz w:val="20"/>
          <w:szCs w:val="20"/>
        </w:rPr>
        <w:t xml:space="preserve">GREEN, Richard; NEWBERRY, Mark. </w:t>
      </w:r>
      <w:r w:rsidR="005F764F" w:rsidRPr="001B4EA4">
        <w:rPr>
          <w:rFonts w:ascii="Verdana" w:hAnsi="Verdana" w:cstheme="minorHAnsi"/>
          <w:sz w:val="20"/>
          <w:szCs w:val="20"/>
        </w:rPr>
        <w:t>“</w:t>
      </w:r>
      <w:r w:rsidRPr="001B4EA4">
        <w:rPr>
          <w:rFonts w:ascii="Verdana" w:hAnsi="Verdana"/>
          <w:sz w:val="20"/>
          <w:szCs w:val="20"/>
        </w:rPr>
        <w:t>Competition in the British Electricity Spot Market</w:t>
      </w:r>
      <w:r w:rsidR="005F764F" w:rsidRPr="001B4EA4">
        <w:rPr>
          <w:rFonts w:ascii="Verdana" w:hAnsi="Verdana" w:cstheme="minorHAnsi"/>
          <w:sz w:val="20"/>
          <w:szCs w:val="20"/>
        </w:rPr>
        <w:t>”</w:t>
      </w:r>
      <w:r w:rsidRPr="001B4EA4">
        <w:rPr>
          <w:rFonts w:ascii="Verdana" w:hAnsi="Verdana" w:cstheme="minorHAnsi"/>
          <w:sz w:val="20"/>
          <w:szCs w:val="20"/>
        </w:rPr>
        <w:t>.</w:t>
      </w:r>
      <w:r w:rsidRPr="001B4EA4">
        <w:rPr>
          <w:rFonts w:ascii="Verdana" w:hAnsi="Verdana"/>
          <w:sz w:val="20"/>
          <w:szCs w:val="20"/>
        </w:rPr>
        <w:t xml:space="preserve"> </w:t>
      </w:r>
      <w:r w:rsidRPr="001B4EA4">
        <w:rPr>
          <w:rFonts w:ascii="Verdana" w:hAnsi="Verdana"/>
          <w:i/>
          <w:sz w:val="20"/>
          <w:szCs w:val="20"/>
        </w:rPr>
        <w:t>Journal of Political Economy</w:t>
      </w:r>
      <w:r w:rsidRPr="001B4EA4">
        <w:rPr>
          <w:rFonts w:ascii="Verdana" w:hAnsi="Verdana"/>
          <w:sz w:val="20"/>
          <w:szCs w:val="20"/>
        </w:rPr>
        <w:t xml:space="preserve">, v. 100, n. 5, </w:t>
      </w:r>
      <w:r w:rsidRPr="001B4EA4">
        <w:rPr>
          <w:rFonts w:ascii="Verdana" w:hAnsi="Verdana" w:cstheme="minorHAnsi"/>
          <w:sz w:val="20"/>
          <w:szCs w:val="20"/>
        </w:rPr>
        <w:t>p</w:t>
      </w:r>
      <w:r w:rsidRPr="001B4EA4">
        <w:rPr>
          <w:rFonts w:ascii="Verdana" w:hAnsi="Verdana"/>
          <w:sz w:val="20"/>
          <w:szCs w:val="20"/>
        </w:rPr>
        <w:t xml:space="preserve">. 929-953, </w:t>
      </w:r>
      <w:r w:rsidR="005F764F" w:rsidRPr="001B4EA4">
        <w:rPr>
          <w:rFonts w:ascii="Verdana" w:hAnsi="Verdana" w:cstheme="minorHAnsi"/>
          <w:sz w:val="20"/>
          <w:szCs w:val="20"/>
        </w:rPr>
        <w:t>o</w:t>
      </w:r>
      <w:r w:rsidRPr="001B4EA4">
        <w:rPr>
          <w:rFonts w:ascii="Verdana" w:hAnsi="Verdana" w:cstheme="minorHAnsi"/>
          <w:sz w:val="20"/>
          <w:szCs w:val="20"/>
        </w:rPr>
        <w:t>ct</w:t>
      </w:r>
      <w:r w:rsidR="005F764F" w:rsidRPr="001B4EA4">
        <w:rPr>
          <w:rFonts w:ascii="Verdana" w:hAnsi="Verdana"/>
          <w:sz w:val="20"/>
          <w:szCs w:val="20"/>
        </w:rPr>
        <w:t xml:space="preserve"> </w:t>
      </w:r>
      <w:r w:rsidRPr="001B4EA4">
        <w:rPr>
          <w:rFonts w:ascii="Verdana" w:hAnsi="Verdana"/>
          <w:sz w:val="20"/>
          <w:szCs w:val="20"/>
        </w:rPr>
        <w:t xml:space="preserve">1992. </w:t>
      </w:r>
    </w:p>
    <w:p w14:paraId="28351A9A" w14:textId="42FBEFD1" w:rsidR="00354C21" w:rsidRPr="001B4EA4" w:rsidRDefault="00354C21" w:rsidP="001B4EA4">
      <w:pPr>
        <w:suppressLineNumbers/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</w:rPr>
        <w:t>HART, O</w:t>
      </w:r>
      <w:r w:rsidR="0027677A" w:rsidRPr="001B4EA4">
        <w:rPr>
          <w:rFonts w:ascii="Verdana" w:hAnsi="Verdana"/>
          <w:sz w:val="20"/>
          <w:szCs w:val="20"/>
        </w:rPr>
        <w:t>liver</w:t>
      </w:r>
      <w:r w:rsidRPr="001B4EA4">
        <w:rPr>
          <w:rFonts w:ascii="Verdana" w:hAnsi="Verdana"/>
          <w:sz w:val="20"/>
          <w:szCs w:val="20"/>
        </w:rPr>
        <w:t>; SHLEIFER, A</w:t>
      </w:r>
      <w:r w:rsidR="0027677A" w:rsidRPr="001B4EA4">
        <w:rPr>
          <w:rFonts w:ascii="Verdana" w:hAnsi="Verdana"/>
          <w:sz w:val="20"/>
          <w:szCs w:val="20"/>
        </w:rPr>
        <w:t>ndrei</w:t>
      </w:r>
      <w:r w:rsidRPr="001B4EA4">
        <w:rPr>
          <w:rFonts w:ascii="Verdana" w:hAnsi="Verdana"/>
          <w:sz w:val="20"/>
          <w:szCs w:val="20"/>
        </w:rPr>
        <w:t>; VISHNY, R</w:t>
      </w:r>
      <w:r w:rsidR="0023162B" w:rsidRPr="001B4EA4">
        <w:rPr>
          <w:rFonts w:ascii="Verdana" w:hAnsi="Verdana"/>
          <w:sz w:val="20"/>
          <w:szCs w:val="20"/>
        </w:rPr>
        <w:t>obert</w:t>
      </w:r>
      <w:r w:rsidRPr="001B4EA4">
        <w:rPr>
          <w:rFonts w:ascii="Verdana" w:hAnsi="Verdana"/>
          <w:sz w:val="20"/>
          <w:szCs w:val="20"/>
        </w:rPr>
        <w:t xml:space="preserve">. </w:t>
      </w:r>
      <w:r w:rsidR="005F764F" w:rsidRPr="001B4EA4">
        <w:rPr>
          <w:rFonts w:ascii="Verdana" w:hAnsi="Verdana" w:cstheme="minorHAnsi"/>
          <w:sz w:val="20"/>
          <w:szCs w:val="20"/>
        </w:rPr>
        <w:t>“</w:t>
      </w:r>
      <w:r w:rsidRPr="001B4EA4">
        <w:rPr>
          <w:rFonts w:ascii="Verdana" w:hAnsi="Verdana"/>
          <w:sz w:val="20"/>
          <w:szCs w:val="20"/>
        </w:rPr>
        <w:t>The proper scope of government: theory and an application to Prisons</w:t>
      </w:r>
      <w:r w:rsidR="005F764F" w:rsidRPr="001B4EA4">
        <w:rPr>
          <w:rFonts w:ascii="Verdana" w:hAnsi="Verdana" w:cstheme="minorHAnsi"/>
          <w:sz w:val="20"/>
          <w:szCs w:val="20"/>
        </w:rPr>
        <w:t>”</w:t>
      </w:r>
      <w:r w:rsidRPr="001B4EA4">
        <w:rPr>
          <w:rFonts w:ascii="Verdana" w:hAnsi="Verdana" w:cstheme="minorHAnsi"/>
          <w:sz w:val="20"/>
          <w:szCs w:val="20"/>
        </w:rPr>
        <w:t>.</w:t>
      </w:r>
      <w:r w:rsidRPr="001B4EA4">
        <w:rPr>
          <w:rFonts w:ascii="Verdana" w:hAnsi="Verdana"/>
          <w:sz w:val="20"/>
          <w:szCs w:val="20"/>
        </w:rPr>
        <w:t xml:space="preserve"> </w:t>
      </w:r>
      <w:r w:rsidRPr="001B4EA4">
        <w:rPr>
          <w:rFonts w:ascii="Verdana" w:hAnsi="Verdana"/>
          <w:i/>
          <w:sz w:val="20"/>
          <w:szCs w:val="20"/>
          <w:lang w:val="pt-BR"/>
        </w:rPr>
        <w:t>The Quarterly Journal of Economics</w:t>
      </w:r>
      <w:r w:rsidRPr="001B4EA4">
        <w:rPr>
          <w:rFonts w:ascii="Verdana" w:hAnsi="Verdana"/>
          <w:sz w:val="20"/>
          <w:szCs w:val="20"/>
          <w:lang w:val="pt-BR"/>
        </w:rPr>
        <w:t xml:space="preserve">, v. 112, </w:t>
      </w:r>
      <w:r w:rsidR="00702108" w:rsidRPr="001B4EA4">
        <w:rPr>
          <w:rFonts w:ascii="Verdana" w:hAnsi="Verdana"/>
          <w:sz w:val="20"/>
          <w:szCs w:val="20"/>
          <w:lang w:val="pt-BR"/>
        </w:rPr>
        <w:t xml:space="preserve">n. 4, </w:t>
      </w:r>
      <w:r w:rsidRPr="001B4EA4">
        <w:rPr>
          <w:rFonts w:ascii="Verdana" w:hAnsi="Verdana" w:cstheme="minorHAnsi"/>
          <w:sz w:val="20"/>
          <w:szCs w:val="20"/>
          <w:lang w:val="pt-BR"/>
        </w:rPr>
        <w:t>p</w:t>
      </w:r>
      <w:r w:rsidRPr="001B4EA4">
        <w:rPr>
          <w:rFonts w:ascii="Verdana" w:hAnsi="Verdana"/>
          <w:sz w:val="20"/>
          <w:szCs w:val="20"/>
          <w:lang w:val="pt-BR"/>
        </w:rPr>
        <w:t>. 1127-1161, 1997.</w:t>
      </w:r>
    </w:p>
    <w:p w14:paraId="20307A51" w14:textId="5E953954" w:rsidR="001A3F43" w:rsidRPr="001B4EA4" w:rsidRDefault="001A3F43" w:rsidP="001B4EA4">
      <w:pPr>
        <w:suppressLineNumbers/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  <w:r w:rsidRPr="00157AE3">
        <w:rPr>
          <w:rFonts w:ascii="Verdana" w:hAnsi="Verdana"/>
          <w:smallCaps/>
          <w:sz w:val="20"/>
          <w:szCs w:val="20"/>
          <w:lang w:val="pt-BR"/>
        </w:rPr>
        <w:t>IBGC</w:t>
      </w:r>
      <w:r w:rsidRPr="001B4EA4">
        <w:rPr>
          <w:rFonts w:ascii="Verdana" w:hAnsi="Verdana"/>
          <w:sz w:val="20"/>
          <w:szCs w:val="20"/>
          <w:lang w:val="pt-BR"/>
        </w:rPr>
        <w:t xml:space="preserve"> (Instituto Brasileiro de Governança Corporativa). </w:t>
      </w:r>
      <w:r w:rsidRPr="001B4EA4">
        <w:rPr>
          <w:rFonts w:ascii="Verdana" w:hAnsi="Verdana"/>
          <w:i/>
          <w:sz w:val="20"/>
          <w:szCs w:val="20"/>
          <w:lang w:val="pt-BR"/>
        </w:rPr>
        <w:t>Código das Melhores Práticas de Governança Corporativa</w:t>
      </w:r>
      <w:r w:rsidRPr="001B4EA4">
        <w:rPr>
          <w:rFonts w:ascii="Verdana" w:hAnsi="Verdana"/>
          <w:sz w:val="20"/>
          <w:szCs w:val="20"/>
          <w:lang w:val="pt-BR"/>
        </w:rPr>
        <w:t xml:space="preserve">. </w:t>
      </w:r>
      <w:r w:rsidRPr="001B4EA4">
        <w:rPr>
          <w:rFonts w:ascii="Verdana" w:hAnsi="Verdana" w:cstheme="minorHAnsi"/>
          <w:sz w:val="20"/>
          <w:szCs w:val="20"/>
          <w:lang w:val="pt-BR"/>
        </w:rPr>
        <w:t>5</w:t>
      </w:r>
      <w:r w:rsidR="005F764F" w:rsidRPr="001B4EA4">
        <w:rPr>
          <w:rFonts w:ascii="Verdana" w:hAnsi="Verdana" w:cstheme="minorHAnsi"/>
          <w:sz w:val="20"/>
          <w:szCs w:val="20"/>
          <w:lang w:val="pt-BR"/>
        </w:rPr>
        <w:t>.</w:t>
      </w:r>
      <w:r w:rsidRPr="001B4EA4">
        <w:rPr>
          <w:rFonts w:ascii="Verdana" w:hAnsi="Verdana" w:cstheme="minorHAnsi"/>
          <w:sz w:val="20"/>
          <w:szCs w:val="20"/>
          <w:lang w:val="pt-BR"/>
        </w:rPr>
        <w:t xml:space="preserve"> </w:t>
      </w:r>
      <w:r w:rsidR="005F764F" w:rsidRPr="001B4EA4">
        <w:rPr>
          <w:rFonts w:ascii="Verdana" w:hAnsi="Verdana" w:cstheme="minorHAnsi"/>
          <w:sz w:val="20"/>
          <w:szCs w:val="20"/>
          <w:lang w:val="pt-BR"/>
        </w:rPr>
        <w:t>e</w:t>
      </w:r>
      <w:r w:rsidRPr="001B4EA4">
        <w:rPr>
          <w:rFonts w:ascii="Verdana" w:hAnsi="Verdana" w:cstheme="minorHAnsi"/>
          <w:sz w:val="20"/>
          <w:szCs w:val="20"/>
          <w:lang w:val="pt-BR"/>
        </w:rPr>
        <w:t>d.</w:t>
      </w:r>
      <w:r w:rsidR="005F764F" w:rsidRPr="001B4EA4">
        <w:rPr>
          <w:rFonts w:ascii="Verdana" w:hAnsi="Verdana" w:cstheme="minorHAnsi"/>
          <w:sz w:val="20"/>
          <w:szCs w:val="20"/>
          <w:lang w:val="pt-BR"/>
        </w:rPr>
        <w:t>,</w:t>
      </w:r>
      <w:r w:rsidRPr="001B4EA4">
        <w:rPr>
          <w:rFonts w:ascii="Verdana" w:hAnsi="Verdana"/>
          <w:sz w:val="20"/>
          <w:szCs w:val="20"/>
          <w:lang w:val="pt-BR"/>
        </w:rPr>
        <w:t xml:space="preserve"> São Paulo</w:t>
      </w:r>
      <w:r w:rsidR="005F764F" w:rsidRPr="001B4EA4">
        <w:rPr>
          <w:rFonts w:ascii="Verdana" w:hAnsi="Verdana" w:cstheme="minorHAnsi"/>
          <w:sz w:val="20"/>
          <w:szCs w:val="20"/>
          <w:lang w:val="pt-BR"/>
        </w:rPr>
        <w:t>,</w:t>
      </w:r>
      <w:r w:rsidRPr="001B4EA4">
        <w:rPr>
          <w:rFonts w:ascii="Verdana" w:hAnsi="Verdana"/>
          <w:sz w:val="20"/>
          <w:szCs w:val="20"/>
          <w:lang w:val="pt-BR"/>
        </w:rPr>
        <w:t xml:space="preserve"> IBGC, 2015.</w:t>
      </w:r>
    </w:p>
    <w:p w14:paraId="184A4364" w14:textId="403E4053" w:rsidR="00354C21" w:rsidRPr="001B4EA4" w:rsidRDefault="00354C21" w:rsidP="001B4EA4">
      <w:pPr>
        <w:suppressLineNumbers/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>LAZZARINI, S</w:t>
      </w:r>
      <w:r w:rsidR="0027677A" w:rsidRPr="001B4EA4">
        <w:rPr>
          <w:rFonts w:ascii="Verdana" w:hAnsi="Verdana"/>
          <w:sz w:val="20"/>
          <w:szCs w:val="20"/>
          <w:lang w:val="pt-BR"/>
        </w:rPr>
        <w:t>ergio</w:t>
      </w:r>
      <w:r w:rsidRPr="001B4EA4">
        <w:rPr>
          <w:rFonts w:ascii="Verdana" w:hAnsi="Verdana"/>
          <w:sz w:val="20"/>
          <w:szCs w:val="20"/>
          <w:lang w:val="pt-BR"/>
        </w:rPr>
        <w:t>; BARBOSA, K</w:t>
      </w:r>
      <w:r w:rsidR="0023162B" w:rsidRPr="001B4EA4">
        <w:rPr>
          <w:rFonts w:ascii="Verdana" w:hAnsi="Verdana"/>
          <w:sz w:val="20"/>
          <w:szCs w:val="20"/>
          <w:lang w:val="pt-BR"/>
        </w:rPr>
        <w:t>lenio</w:t>
      </w:r>
      <w:r w:rsidRPr="001B4EA4">
        <w:rPr>
          <w:rFonts w:ascii="Verdana" w:hAnsi="Verdana"/>
          <w:sz w:val="20"/>
          <w:szCs w:val="20"/>
          <w:lang w:val="pt-BR"/>
        </w:rPr>
        <w:t>; LISBOA, M</w:t>
      </w:r>
      <w:r w:rsidR="0023162B" w:rsidRPr="001B4EA4">
        <w:rPr>
          <w:rFonts w:ascii="Verdana" w:hAnsi="Verdana"/>
          <w:sz w:val="20"/>
          <w:szCs w:val="20"/>
          <w:lang w:val="pt-BR"/>
        </w:rPr>
        <w:t>arcos</w:t>
      </w:r>
      <w:r w:rsidRPr="001B4EA4">
        <w:rPr>
          <w:rFonts w:ascii="Verdana" w:hAnsi="Verdana"/>
          <w:sz w:val="20"/>
          <w:szCs w:val="20"/>
          <w:lang w:val="pt-BR"/>
        </w:rPr>
        <w:t xml:space="preserve">. </w:t>
      </w:r>
      <w:r w:rsidR="005F764F" w:rsidRPr="001B4EA4">
        <w:rPr>
          <w:rFonts w:ascii="Verdana" w:hAnsi="Verdana" w:cstheme="minorHAnsi"/>
          <w:sz w:val="20"/>
          <w:szCs w:val="20"/>
          <w:lang w:val="pt-BR"/>
        </w:rPr>
        <w:t>“</w:t>
      </w:r>
      <w:r w:rsidRPr="001B4EA4">
        <w:rPr>
          <w:rFonts w:ascii="Verdana" w:hAnsi="Verdana"/>
          <w:sz w:val="20"/>
          <w:szCs w:val="20"/>
          <w:lang w:val="pt-BR"/>
        </w:rPr>
        <w:t>Caixa Econômica Federal: alternativas privadas para a gestão de suas atividades financeiras e sociais</w:t>
      </w:r>
      <w:r w:rsidR="005F764F" w:rsidRPr="001B4EA4">
        <w:rPr>
          <w:rFonts w:ascii="Verdana" w:hAnsi="Verdana" w:cstheme="minorHAnsi"/>
          <w:sz w:val="20"/>
          <w:szCs w:val="20"/>
          <w:lang w:val="pt-BR"/>
        </w:rPr>
        <w:t xml:space="preserve">”. </w:t>
      </w:r>
      <w:r w:rsidR="005F764F" w:rsidRPr="001B4EA4">
        <w:rPr>
          <w:rFonts w:ascii="Verdana" w:hAnsi="Verdana" w:cstheme="minorHAnsi"/>
          <w:iCs/>
          <w:sz w:val="20"/>
          <w:szCs w:val="20"/>
          <w:lang w:val="pt-BR"/>
        </w:rPr>
        <w:t>In</w:t>
      </w:r>
      <w:r w:rsidR="005F764F" w:rsidRPr="001B4EA4">
        <w:rPr>
          <w:rFonts w:ascii="Verdana" w:hAnsi="Verdana" w:cstheme="minorHAnsi"/>
          <w:sz w:val="20"/>
          <w:szCs w:val="20"/>
          <w:lang w:val="pt-BR"/>
        </w:rPr>
        <w:t>:</w:t>
      </w:r>
      <w:r w:rsidRPr="001B4EA4">
        <w:rPr>
          <w:rFonts w:ascii="Verdana" w:hAnsi="Verdana"/>
          <w:sz w:val="20"/>
          <w:szCs w:val="20"/>
          <w:lang w:val="pt-BR"/>
        </w:rPr>
        <w:t xml:space="preserve"> PASTORE, A</w:t>
      </w:r>
      <w:r w:rsidR="000379DC" w:rsidRPr="001B4EA4">
        <w:rPr>
          <w:rFonts w:ascii="Verdana" w:hAnsi="Verdana"/>
          <w:sz w:val="20"/>
          <w:szCs w:val="20"/>
          <w:lang w:val="pt-BR"/>
        </w:rPr>
        <w:t xml:space="preserve">ffonso </w:t>
      </w:r>
      <w:r w:rsidRPr="001B4EA4">
        <w:rPr>
          <w:rFonts w:ascii="Verdana" w:hAnsi="Verdana"/>
          <w:sz w:val="20"/>
          <w:szCs w:val="20"/>
          <w:lang w:val="pt-BR"/>
        </w:rPr>
        <w:t>(</w:t>
      </w:r>
      <w:r w:rsidR="005F764F" w:rsidRPr="001B4EA4">
        <w:rPr>
          <w:rFonts w:ascii="Verdana" w:hAnsi="Verdana" w:cstheme="minorHAnsi"/>
          <w:sz w:val="20"/>
          <w:szCs w:val="20"/>
          <w:lang w:val="pt-BR"/>
        </w:rPr>
        <w:t>e</w:t>
      </w:r>
      <w:r w:rsidRPr="001B4EA4">
        <w:rPr>
          <w:rFonts w:ascii="Verdana" w:hAnsi="Verdana" w:cstheme="minorHAnsi"/>
          <w:sz w:val="20"/>
          <w:szCs w:val="20"/>
          <w:lang w:val="pt-BR"/>
        </w:rPr>
        <w:t>d</w:t>
      </w:r>
      <w:r w:rsidRPr="001B4EA4">
        <w:rPr>
          <w:rFonts w:ascii="Verdana" w:hAnsi="Verdana"/>
          <w:sz w:val="20"/>
          <w:szCs w:val="20"/>
          <w:lang w:val="pt-BR"/>
        </w:rPr>
        <w:t>.)</w:t>
      </w:r>
      <w:r w:rsidR="000379DC" w:rsidRPr="001B4EA4">
        <w:rPr>
          <w:rFonts w:ascii="Verdana" w:hAnsi="Verdana"/>
          <w:sz w:val="20"/>
          <w:szCs w:val="20"/>
          <w:lang w:val="pt-BR"/>
        </w:rPr>
        <w:t>.</w:t>
      </w:r>
      <w:r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Pr="001B4EA4">
        <w:rPr>
          <w:rFonts w:ascii="Verdana" w:hAnsi="Verdana"/>
          <w:i/>
          <w:sz w:val="20"/>
          <w:szCs w:val="20"/>
          <w:lang w:val="pt-BR"/>
        </w:rPr>
        <w:t>Como Escapar da Armadilha do Lento Crescimento</w:t>
      </w:r>
      <w:r w:rsidR="00F66C0E" w:rsidRPr="001B4EA4">
        <w:rPr>
          <w:rFonts w:ascii="Verdana" w:hAnsi="Verdana"/>
          <w:sz w:val="20"/>
          <w:szCs w:val="20"/>
          <w:lang w:val="pt-BR"/>
        </w:rPr>
        <w:t>. São Paulo</w:t>
      </w:r>
      <w:r w:rsidR="005F764F" w:rsidRPr="001B4EA4">
        <w:rPr>
          <w:rFonts w:ascii="Verdana" w:hAnsi="Verdana" w:cstheme="minorHAnsi"/>
          <w:sz w:val="20"/>
          <w:szCs w:val="20"/>
          <w:lang w:val="pt-BR"/>
        </w:rPr>
        <w:t>,</w:t>
      </w:r>
      <w:r w:rsidR="00F66C0E" w:rsidRPr="001B4EA4">
        <w:rPr>
          <w:rFonts w:ascii="Verdana" w:hAnsi="Verdana"/>
          <w:sz w:val="20"/>
          <w:szCs w:val="20"/>
          <w:lang w:val="pt-BR"/>
        </w:rPr>
        <w:t xml:space="preserve"> Centro de Debate de Políticas Públicas (CDPP)</w:t>
      </w:r>
      <w:r w:rsidRPr="001B4EA4">
        <w:rPr>
          <w:rFonts w:ascii="Verdana" w:hAnsi="Verdana"/>
          <w:sz w:val="20"/>
          <w:szCs w:val="20"/>
          <w:lang w:val="pt-BR"/>
        </w:rPr>
        <w:t>, 2018. Disponível em &lt;https://cdpp.org.br/site/00arquivos/Como-Escapar-da-Armadilha-do-Le</w:t>
      </w:r>
      <w:r w:rsidR="005F764F" w:rsidRPr="001B4EA4">
        <w:rPr>
          <w:rFonts w:ascii="Verdana" w:hAnsi="Verdana"/>
          <w:sz w:val="20"/>
          <w:szCs w:val="20"/>
          <w:lang w:val="pt-BR"/>
        </w:rPr>
        <w:t>nto-Crescimento.pdf&gt;. Acesso em</w:t>
      </w:r>
      <w:r w:rsidRPr="001B4EA4">
        <w:rPr>
          <w:rFonts w:ascii="Verdana" w:hAnsi="Verdana" w:cstheme="minorHAnsi"/>
          <w:sz w:val="20"/>
          <w:szCs w:val="20"/>
          <w:lang w:val="pt-BR"/>
        </w:rPr>
        <w:t>:</w:t>
      </w:r>
      <w:r w:rsidRPr="001B4EA4">
        <w:rPr>
          <w:rFonts w:ascii="Verdana" w:hAnsi="Verdana"/>
          <w:sz w:val="20"/>
          <w:szCs w:val="20"/>
          <w:lang w:val="pt-BR"/>
        </w:rPr>
        <w:t xml:space="preserve"> 9 mai</w:t>
      </w:r>
      <w:r w:rsidR="00E8333F" w:rsidRPr="001B4EA4">
        <w:rPr>
          <w:rFonts w:ascii="Verdana" w:hAnsi="Verdana"/>
          <w:sz w:val="20"/>
          <w:szCs w:val="20"/>
          <w:lang w:val="pt-BR"/>
        </w:rPr>
        <w:t>o</w:t>
      </w:r>
      <w:r w:rsidRPr="001B4EA4">
        <w:rPr>
          <w:rFonts w:ascii="Verdana" w:hAnsi="Verdana"/>
          <w:sz w:val="20"/>
          <w:szCs w:val="20"/>
          <w:lang w:val="pt-BR"/>
        </w:rPr>
        <w:t xml:space="preserve"> 2019.</w:t>
      </w:r>
    </w:p>
    <w:p w14:paraId="740804B4" w14:textId="2F36777C" w:rsidR="00354C21" w:rsidRPr="001B4EA4" w:rsidRDefault="00354C21" w:rsidP="001B4EA4">
      <w:pPr>
        <w:suppressLineNumbers/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>MÂNICA, Fernando Borges; MENEGAT, Fernando.</w:t>
      </w:r>
      <w:r w:rsidR="00275ED3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Pr="001B4EA4">
        <w:rPr>
          <w:rFonts w:ascii="Verdana" w:hAnsi="Verdana"/>
          <w:i/>
          <w:sz w:val="20"/>
          <w:szCs w:val="20"/>
          <w:lang w:val="pt-BR"/>
        </w:rPr>
        <w:t>Teoria jurídica da privatização: fundamentos, limites e técnicas de interação público-privada no Direito brasileiro</w:t>
      </w:r>
      <w:r w:rsidRPr="001B4EA4">
        <w:rPr>
          <w:rFonts w:ascii="Verdana" w:hAnsi="Verdana"/>
          <w:sz w:val="20"/>
          <w:szCs w:val="20"/>
          <w:lang w:val="pt-BR"/>
        </w:rPr>
        <w:t>.</w:t>
      </w:r>
      <w:r w:rsidR="00275ED3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Pr="001B4EA4">
        <w:rPr>
          <w:rFonts w:ascii="Verdana" w:hAnsi="Verdana"/>
          <w:sz w:val="20"/>
          <w:szCs w:val="20"/>
          <w:lang w:val="pt-BR"/>
        </w:rPr>
        <w:t>Rio de Janeiro</w:t>
      </w:r>
      <w:r w:rsidR="005F764F" w:rsidRPr="001B4EA4">
        <w:rPr>
          <w:rFonts w:ascii="Verdana" w:hAnsi="Verdana" w:cstheme="minorHAnsi"/>
          <w:sz w:val="20"/>
          <w:szCs w:val="20"/>
          <w:lang w:val="pt-BR"/>
        </w:rPr>
        <w:t>,</w:t>
      </w:r>
      <w:r w:rsidRPr="001B4EA4">
        <w:rPr>
          <w:rFonts w:ascii="Verdana" w:hAnsi="Verdana"/>
          <w:sz w:val="20"/>
          <w:szCs w:val="20"/>
          <w:lang w:val="pt-BR"/>
        </w:rPr>
        <w:t xml:space="preserve"> Lumen Juris, 2017.</w:t>
      </w:r>
    </w:p>
    <w:p w14:paraId="72A96220" w14:textId="53C4FB7A" w:rsidR="00354C21" w:rsidRPr="001B4EA4" w:rsidRDefault="00354C21" w:rsidP="001B4EA4">
      <w:pPr>
        <w:suppressLineNumbers/>
        <w:spacing w:line="276" w:lineRule="auto"/>
        <w:jc w:val="both"/>
        <w:rPr>
          <w:rFonts w:ascii="Verdana" w:hAnsi="Verdana"/>
          <w:sz w:val="20"/>
          <w:szCs w:val="20"/>
        </w:rPr>
      </w:pPr>
      <w:r w:rsidRPr="001B4EA4">
        <w:rPr>
          <w:rFonts w:ascii="Verdana" w:hAnsi="Verdana"/>
          <w:sz w:val="20"/>
          <w:szCs w:val="20"/>
          <w:lang w:val="pt-BR"/>
        </w:rPr>
        <w:t>MARRARA, Thiago; GONZÁLES, Jorge Agudo (</w:t>
      </w:r>
      <w:r w:rsidR="005F764F" w:rsidRPr="001B4EA4">
        <w:rPr>
          <w:rFonts w:ascii="Verdana" w:hAnsi="Verdana" w:cstheme="minorHAnsi"/>
          <w:sz w:val="20"/>
          <w:szCs w:val="20"/>
          <w:lang w:val="pt-BR"/>
        </w:rPr>
        <w:t>c</w:t>
      </w:r>
      <w:r w:rsidRPr="001B4EA4">
        <w:rPr>
          <w:rFonts w:ascii="Verdana" w:hAnsi="Verdana" w:cstheme="minorHAnsi"/>
          <w:sz w:val="20"/>
          <w:szCs w:val="20"/>
          <w:lang w:val="pt-BR"/>
        </w:rPr>
        <w:t>oord</w:t>
      </w:r>
      <w:r w:rsidRPr="001B4EA4">
        <w:rPr>
          <w:rFonts w:ascii="Verdana" w:hAnsi="Verdana"/>
          <w:sz w:val="20"/>
          <w:szCs w:val="20"/>
          <w:lang w:val="pt-BR"/>
        </w:rPr>
        <w:t>.).</w:t>
      </w:r>
      <w:r w:rsidR="00275ED3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Pr="001B4EA4">
        <w:rPr>
          <w:rFonts w:ascii="Verdana" w:hAnsi="Verdana"/>
          <w:i/>
          <w:sz w:val="20"/>
          <w:szCs w:val="20"/>
          <w:lang w:val="pt-BR"/>
        </w:rPr>
        <w:t>Controles da administração e judicialização de políticas públicas</w:t>
      </w:r>
      <w:r w:rsidRPr="001B4EA4">
        <w:rPr>
          <w:rFonts w:ascii="Verdana" w:hAnsi="Verdana"/>
          <w:sz w:val="20"/>
          <w:szCs w:val="20"/>
          <w:lang w:val="pt-BR"/>
        </w:rPr>
        <w:t>.</w:t>
      </w:r>
      <w:r w:rsidR="00275ED3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Pr="001B4EA4">
        <w:rPr>
          <w:rFonts w:ascii="Verdana" w:hAnsi="Verdana"/>
          <w:sz w:val="20"/>
          <w:szCs w:val="20"/>
        </w:rPr>
        <w:t>São Paulo</w:t>
      </w:r>
      <w:r w:rsidR="005F764F" w:rsidRPr="001B4EA4">
        <w:rPr>
          <w:rFonts w:ascii="Verdana" w:hAnsi="Verdana" w:cstheme="minorHAnsi"/>
          <w:sz w:val="20"/>
          <w:szCs w:val="20"/>
        </w:rPr>
        <w:t>,</w:t>
      </w:r>
      <w:r w:rsidRPr="001B4EA4">
        <w:rPr>
          <w:rFonts w:ascii="Verdana" w:hAnsi="Verdana"/>
          <w:sz w:val="20"/>
          <w:szCs w:val="20"/>
        </w:rPr>
        <w:t xml:space="preserve"> Almedina, 2016.</w:t>
      </w:r>
    </w:p>
    <w:p w14:paraId="672665D3" w14:textId="7F091C24" w:rsidR="00354C21" w:rsidRPr="001B4EA4" w:rsidRDefault="00354C21" w:rsidP="001B4EA4">
      <w:pPr>
        <w:suppressLineNumbers/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</w:rPr>
        <w:t>MEGGINSON, W</w:t>
      </w:r>
      <w:r w:rsidR="0027677A" w:rsidRPr="001B4EA4">
        <w:rPr>
          <w:rFonts w:ascii="Verdana" w:hAnsi="Verdana"/>
          <w:sz w:val="20"/>
          <w:szCs w:val="20"/>
        </w:rPr>
        <w:t>illiam</w:t>
      </w:r>
      <w:r w:rsidRPr="001B4EA4">
        <w:rPr>
          <w:rFonts w:ascii="Verdana" w:hAnsi="Verdana"/>
          <w:sz w:val="20"/>
          <w:szCs w:val="20"/>
        </w:rPr>
        <w:t xml:space="preserve">. </w:t>
      </w:r>
      <w:r w:rsidR="005F764F" w:rsidRPr="001B4EA4">
        <w:rPr>
          <w:rFonts w:ascii="Verdana" w:hAnsi="Verdana" w:cstheme="minorHAnsi"/>
          <w:sz w:val="20"/>
          <w:szCs w:val="20"/>
        </w:rPr>
        <w:t>“</w:t>
      </w:r>
      <w:r w:rsidRPr="001B4EA4">
        <w:rPr>
          <w:rFonts w:ascii="Verdana" w:hAnsi="Verdana"/>
          <w:sz w:val="20"/>
          <w:szCs w:val="20"/>
        </w:rPr>
        <w:t>Privatization, State Capitalism, and State Ownership of Business in the 21st Century</w:t>
      </w:r>
      <w:r w:rsidR="005F764F" w:rsidRPr="001B4EA4">
        <w:rPr>
          <w:rFonts w:ascii="Verdana" w:hAnsi="Verdana" w:cstheme="minorHAnsi"/>
          <w:sz w:val="20"/>
          <w:szCs w:val="20"/>
        </w:rPr>
        <w:t>”</w:t>
      </w:r>
      <w:r w:rsidRPr="001B4EA4">
        <w:rPr>
          <w:rFonts w:ascii="Verdana" w:hAnsi="Verdana" w:cstheme="minorHAnsi"/>
          <w:sz w:val="20"/>
          <w:szCs w:val="20"/>
        </w:rPr>
        <w:t>.</w:t>
      </w:r>
      <w:r w:rsidRPr="001B4EA4">
        <w:rPr>
          <w:rFonts w:ascii="Verdana" w:hAnsi="Verdana"/>
          <w:sz w:val="20"/>
          <w:szCs w:val="20"/>
        </w:rPr>
        <w:t xml:space="preserve"> </w:t>
      </w:r>
      <w:r w:rsidRPr="001B4EA4">
        <w:rPr>
          <w:rFonts w:ascii="Verdana" w:hAnsi="Verdana"/>
          <w:i/>
          <w:sz w:val="20"/>
          <w:szCs w:val="20"/>
        </w:rPr>
        <w:t>Foundations and Trends in Finance</w:t>
      </w:r>
      <w:r w:rsidR="00F66C0E" w:rsidRPr="001B4EA4">
        <w:rPr>
          <w:rFonts w:ascii="Verdana" w:hAnsi="Verdana"/>
          <w:sz w:val="20"/>
          <w:szCs w:val="20"/>
        </w:rPr>
        <w:t>, v. 11, 2017</w:t>
      </w:r>
      <w:r w:rsidRPr="001B4EA4">
        <w:rPr>
          <w:rFonts w:ascii="Verdana" w:hAnsi="Verdana"/>
          <w:sz w:val="20"/>
          <w:szCs w:val="20"/>
        </w:rPr>
        <w:t xml:space="preserve">. Disponível em: &lt;https://ssrn.com/abstract=2846784&gt;. </w:t>
      </w:r>
      <w:r w:rsidR="005F764F" w:rsidRPr="001B4EA4">
        <w:rPr>
          <w:rFonts w:ascii="Verdana" w:hAnsi="Verdana"/>
          <w:sz w:val="20"/>
          <w:szCs w:val="20"/>
          <w:lang w:val="pt-BR"/>
        </w:rPr>
        <w:t>Acesso em</w:t>
      </w:r>
      <w:r w:rsidRPr="001B4EA4">
        <w:rPr>
          <w:rFonts w:ascii="Verdana" w:hAnsi="Verdana" w:cstheme="minorHAnsi"/>
          <w:sz w:val="20"/>
          <w:szCs w:val="20"/>
          <w:lang w:val="pt-BR"/>
        </w:rPr>
        <w:t>:</w:t>
      </w:r>
      <w:r w:rsidRPr="001B4EA4">
        <w:rPr>
          <w:rFonts w:ascii="Verdana" w:hAnsi="Verdana"/>
          <w:sz w:val="20"/>
          <w:szCs w:val="20"/>
          <w:lang w:val="pt-BR"/>
        </w:rPr>
        <w:t xml:space="preserve"> 28 mar</w:t>
      </w:r>
      <w:r w:rsidR="00E8333F" w:rsidRPr="001B4EA4">
        <w:rPr>
          <w:rFonts w:ascii="Verdana" w:hAnsi="Verdana"/>
          <w:sz w:val="20"/>
          <w:szCs w:val="20"/>
          <w:lang w:val="pt-BR"/>
        </w:rPr>
        <w:t>.</w:t>
      </w:r>
      <w:r w:rsidRPr="001B4EA4">
        <w:rPr>
          <w:rFonts w:ascii="Verdana" w:hAnsi="Verdana"/>
          <w:sz w:val="20"/>
          <w:szCs w:val="20"/>
          <w:lang w:val="pt-BR"/>
        </w:rPr>
        <w:t xml:space="preserve"> 2018.</w:t>
      </w:r>
    </w:p>
    <w:p w14:paraId="471D47C3" w14:textId="32A26122" w:rsidR="00354C21" w:rsidRPr="001B4EA4" w:rsidRDefault="00354C21" w:rsidP="001B4EA4">
      <w:pPr>
        <w:pStyle w:val="Textodenotaderodap"/>
        <w:suppressLineNumbers/>
        <w:spacing w:after="160" w:line="276" w:lineRule="auto"/>
        <w:jc w:val="both"/>
        <w:rPr>
          <w:rFonts w:ascii="Verdana" w:hAnsi="Verdana"/>
          <w:lang w:val="en-US"/>
        </w:rPr>
      </w:pPr>
      <w:r w:rsidRPr="001B4EA4">
        <w:rPr>
          <w:rFonts w:ascii="Verdana" w:hAnsi="Verdana"/>
        </w:rPr>
        <w:t xml:space="preserve">MUELLER, Bernardo; PEREIRA, Carlos. </w:t>
      </w:r>
      <w:r w:rsidR="005F764F" w:rsidRPr="001B4EA4">
        <w:rPr>
          <w:rFonts w:ascii="Verdana" w:hAnsi="Verdana" w:cstheme="minorHAnsi"/>
        </w:rPr>
        <w:t>“</w:t>
      </w:r>
      <w:r w:rsidRPr="001B4EA4">
        <w:rPr>
          <w:rFonts w:ascii="Verdana" w:hAnsi="Verdana"/>
        </w:rPr>
        <w:t xml:space="preserve">Uma Teoria da Preponderância do Poder Executivo: </w:t>
      </w:r>
      <w:r w:rsidR="00702108" w:rsidRPr="001B4EA4">
        <w:rPr>
          <w:rFonts w:ascii="Verdana" w:hAnsi="Verdana"/>
        </w:rPr>
        <w:t>o</w:t>
      </w:r>
      <w:r w:rsidRPr="001B4EA4">
        <w:rPr>
          <w:rFonts w:ascii="Verdana" w:hAnsi="Verdana"/>
        </w:rPr>
        <w:t xml:space="preserve"> sistema de comissões no Legislativo brasileiro</w:t>
      </w:r>
      <w:r w:rsidR="005F764F" w:rsidRPr="001B4EA4">
        <w:rPr>
          <w:rFonts w:ascii="Verdana" w:hAnsi="Verdana" w:cstheme="minorHAnsi"/>
        </w:rPr>
        <w:t>”</w:t>
      </w:r>
      <w:r w:rsidRPr="001B4EA4">
        <w:rPr>
          <w:rFonts w:ascii="Verdana" w:hAnsi="Verdana" w:cstheme="minorHAnsi"/>
        </w:rPr>
        <w:t>.</w:t>
      </w:r>
      <w:r w:rsidRPr="001B4EA4">
        <w:rPr>
          <w:rFonts w:ascii="Verdana" w:hAnsi="Verdana"/>
        </w:rPr>
        <w:t xml:space="preserve"> </w:t>
      </w:r>
      <w:r w:rsidRPr="001B4EA4">
        <w:rPr>
          <w:rFonts w:ascii="Verdana" w:hAnsi="Verdana"/>
          <w:i/>
        </w:rPr>
        <w:t>Revista Brasileira de Ciências Sociais</w:t>
      </w:r>
      <w:r w:rsidRPr="001B4EA4">
        <w:rPr>
          <w:rFonts w:ascii="Verdana" w:hAnsi="Verdana"/>
        </w:rPr>
        <w:t>, v. 15, n</w:t>
      </w:r>
      <w:r w:rsidR="00702108" w:rsidRPr="001B4EA4">
        <w:rPr>
          <w:rFonts w:ascii="Verdana" w:hAnsi="Verdana"/>
        </w:rPr>
        <w:t>.</w:t>
      </w:r>
      <w:r w:rsidRPr="001B4EA4">
        <w:rPr>
          <w:rFonts w:ascii="Verdana" w:hAnsi="Verdana"/>
        </w:rPr>
        <w:t xml:space="preserve"> 43, </w:t>
      </w:r>
      <w:r w:rsidRPr="001B4EA4">
        <w:rPr>
          <w:rFonts w:ascii="Verdana" w:hAnsi="Verdana" w:cstheme="minorHAnsi"/>
        </w:rPr>
        <w:t>p</w:t>
      </w:r>
      <w:r w:rsidRPr="001B4EA4">
        <w:rPr>
          <w:rFonts w:ascii="Verdana" w:hAnsi="Verdana"/>
        </w:rPr>
        <w:t>. 45</w:t>
      </w:r>
      <w:r w:rsidR="00DA502F" w:rsidRPr="001B4EA4">
        <w:rPr>
          <w:rFonts w:ascii="Verdana" w:hAnsi="Verdana" w:cstheme="minorHAnsi"/>
        </w:rPr>
        <w:t>-</w:t>
      </w:r>
      <w:r w:rsidRPr="001B4EA4">
        <w:rPr>
          <w:rFonts w:ascii="Verdana" w:hAnsi="Verdana"/>
        </w:rPr>
        <w:t>67</w:t>
      </w:r>
      <w:r w:rsidR="00702108" w:rsidRPr="001B4EA4">
        <w:rPr>
          <w:rFonts w:ascii="Verdana" w:hAnsi="Verdana"/>
        </w:rPr>
        <w:t>,</w:t>
      </w:r>
      <w:r w:rsidRPr="001B4EA4">
        <w:rPr>
          <w:rFonts w:ascii="Verdana" w:hAnsi="Verdana"/>
        </w:rPr>
        <w:t xml:space="preserve"> jun 2000. Disponível em: &lt;http://www.scielo.br/pdf/rbcsoc/v15n43/004.pdf&gt;.</w:t>
      </w:r>
      <w:r w:rsidR="00627403" w:rsidRPr="001B4EA4">
        <w:rPr>
          <w:rFonts w:ascii="Verdana" w:hAnsi="Verdana"/>
        </w:rPr>
        <w:t xml:space="preserve"> </w:t>
      </w:r>
      <w:r w:rsidR="00DA502F" w:rsidRPr="001B4EA4">
        <w:rPr>
          <w:rFonts w:ascii="Verdana" w:hAnsi="Verdana"/>
          <w:lang w:val="en-US"/>
        </w:rPr>
        <w:t>Acesso em</w:t>
      </w:r>
      <w:r w:rsidR="00627403" w:rsidRPr="001B4EA4">
        <w:rPr>
          <w:rFonts w:ascii="Verdana" w:hAnsi="Verdana" w:cstheme="minorHAnsi"/>
          <w:lang w:val="en-US"/>
        </w:rPr>
        <w:t>:</w:t>
      </w:r>
      <w:r w:rsidR="00CF6B74" w:rsidRPr="001B4EA4">
        <w:rPr>
          <w:rFonts w:ascii="Verdana" w:hAnsi="Verdana"/>
          <w:lang w:val="en-US"/>
        </w:rPr>
        <w:t xml:space="preserve"> 22 jul</w:t>
      </w:r>
      <w:r w:rsidR="00627403" w:rsidRPr="001B4EA4">
        <w:rPr>
          <w:rFonts w:ascii="Verdana" w:hAnsi="Verdana" w:cstheme="minorHAnsi"/>
          <w:lang w:val="en-US"/>
        </w:rPr>
        <w:t>.</w:t>
      </w:r>
      <w:r w:rsidR="00627403" w:rsidRPr="001B4EA4">
        <w:rPr>
          <w:rFonts w:ascii="Verdana" w:hAnsi="Verdana"/>
          <w:lang w:val="en-US"/>
        </w:rPr>
        <w:t xml:space="preserve"> 2019</w:t>
      </w:r>
    </w:p>
    <w:p w14:paraId="4956E433" w14:textId="6E12BEC8" w:rsidR="00354C21" w:rsidRPr="001B4EA4" w:rsidRDefault="00354C21" w:rsidP="001B4EA4">
      <w:pPr>
        <w:suppressLineNumbers/>
        <w:spacing w:line="276" w:lineRule="auto"/>
        <w:jc w:val="both"/>
        <w:rPr>
          <w:rFonts w:ascii="Verdana" w:hAnsi="Verdana"/>
          <w:sz w:val="20"/>
          <w:szCs w:val="20"/>
        </w:rPr>
      </w:pPr>
      <w:r w:rsidRPr="001B4EA4">
        <w:rPr>
          <w:rFonts w:ascii="Verdana" w:hAnsi="Verdana"/>
          <w:sz w:val="20"/>
          <w:szCs w:val="20"/>
        </w:rPr>
        <w:t>MUSACCHIO, A</w:t>
      </w:r>
      <w:r w:rsidR="0027677A" w:rsidRPr="001B4EA4">
        <w:rPr>
          <w:rFonts w:ascii="Verdana" w:hAnsi="Verdana"/>
          <w:sz w:val="20"/>
          <w:szCs w:val="20"/>
        </w:rPr>
        <w:t>ldo</w:t>
      </w:r>
      <w:r w:rsidRPr="001B4EA4">
        <w:rPr>
          <w:rFonts w:ascii="Verdana" w:hAnsi="Verdana"/>
          <w:sz w:val="20"/>
          <w:szCs w:val="20"/>
        </w:rPr>
        <w:t>; LAZZARINI, S</w:t>
      </w:r>
      <w:r w:rsidR="0027677A" w:rsidRPr="001B4EA4">
        <w:rPr>
          <w:rFonts w:ascii="Verdana" w:hAnsi="Verdana"/>
          <w:sz w:val="20"/>
          <w:szCs w:val="20"/>
        </w:rPr>
        <w:t>ergio</w:t>
      </w:r>
      <w:r w:rsidRPr="001B4EA4">
        <w:rPr>
          <w:rFonts w:ascii="Verdana" w:hAnsi="Verdana"/>
          <w:sz w:val="20"/>
          <w:szCs w:val="20"/>
        </w:rPr>
        <w:t xml:space="preserve"> G</w:t>
      </w:r>
      <w:r w:rsidR="0027677A" w:rsidRPr="001B4EA4">
        <w:rPr>
          <w:rFonts w:ascii="Verdana" w:hAnsi="Verdana"/>
          <w:sz w:val="20"/>
          <w:szCs w:val="20"/>
        </w:rPr>
        <w:t>iovanetti</w:t>
      </w:r>
      <w:r w:rsidRPr="001B4EA4">
        <w:rPr>
          <w:rFonts w:ascii="Verdana" w:hAnsi="Verdana"/>
          <w:sz w:val="20"/>
          <w:szCs w:val="20"/>
        </w:rPr>
        <w:t xml:space="preserve">. </w:t>
      </w:r>
      <w:r w:rsidRPr="001B4EA4">
        <w:rPr>
          <w:rFonts w:ascii="Verdana" w:hAnsi="Verdana"/>
          <w:i/>
          <w:sz w:val="20"/>
          <w:szCs w:val="20"/>
        </w:rPr>
        <w:t>Reinventing State Capitalism: Leviathan in Business, Brazil and Beyond</w:t>
      </w:r>
      <w:r w:rsidRPr="001B4EA4">
        <w:rPr>
          <w:rFonts w:ascii="Verdana" w:hAnsi="Verdana"/>
          <w:sz w:val="20"/>
          <w:szCs w:val="20"/>
        </w:rPr>
        <w:t>. Cambridge</w:t>
      </w:r>
      <w:r w:rsidR="00DA502F" w:rsidRPr="001B4EA4">
        <w:rPr>
          <w:rFonts w:ascii="Verdana" w:hAnsi="Verdana" w:cstheme="minorHAnsi"/>
          <w:sz w:val="20"/>
          <w:szCs w:val="20"/>
        </w:rPr>
        <w:t>,</w:t>
      </w:r>
      <w:r w:rsidR="00516C8A" w:rsidRPr="001B4EA4">
        <w:rPr>
          <w:rFonts w:ascii="Verdana" w:hAnsi="Verdana"/>
          <w:sz w:val="20"/>
          <w:szCs w:val="20"/>
        </w:rPr>
        <w:t xml:space="preserve"> </w:t>
      </w:r>
      <w:r w:rsidRPr="001B4EA4">
        <w:rPr>
          <w:rFonts w:ascii="Verdana" w:hAnsi="Verdana"/>
          <w:sz w:val="20"/>
          <w:szCs w:val="20"/>
        </w:rPr>
        <w:t>Harvard University Press, 2014.</w:t>
      </w:r>
    </w:p>
    <w:p w14:paraId="44C3988A" w14:textId="59BD6F7E" w:rsidR="001E7CC5" w:rsidRPr="001B4EA4" w:rsidRDefault="001E7CC5" w:rsidP="001B4EA4">
      <w:pPr>
        <w:suppressLineNumbers/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</w:rPr>
        <w:t xml:space="preserve">OECD. </w:t>
      </w:r>
      <w:r w:rsidR="00CF6B74" w:rsidRPr="001B4EA4">
        <w:rPr>
          <w:rFonts w:ascii="Verdana" w:hAnsi="Verdana" w:cstheme="minorHAnsi"/>
          <w:sz w:val="20"/>
          <w:szCs w:val="20"/>
        </w:rPr>
        <w:t>“</w:t>
      </w:r>
      <w:r w:rsidRPr="001B4EA4">
        <w:rPr>
          <w:rFonts w:ascii="Verdana" w:hAnsi="Verdana"/>
          <w:sz w:val="20"/>
          <w:szCs w:val="20"/>
        </w:rPr>
        <w:t xml:space="preserve">A Policy </w:t>
      </w:r>
      <w:r w:rsidRPr="001B4EA4">
        <w:rPr>
          <w:rFonts w:ascii="Verdana" w:hAnsi="Verdana" w:cstheme="minorHAnsi"/>
          <w:bCs/>
          <w:sz w:val="20"/>
          <w:szCs w:val="20"/>
        </w:rPr>
        <w:t>Maker</w:t>
      </w:r>
      <w:r w:rsidR="00DA502F" w:rsidRPr="001B4EA4">
        <w:rPr>
          <w:rFonts w:ascii="Verdana" w:hAnsi="Verdana" w:cstheme="minorHAnsi"/>
          <w:bCs/>
          <w:sz w:val="20"/>
          <w:szCs w:val="20"/>
        </w:rPr>
        <w:t>’</w:t>
      </w:r>
      <w:r w:rsidRPr="001B4EA4">
        <w:rPr>
          <w:rFonts w:ascii="Verdana" w:hAnsi="Verdana" w:cstheme="minorHAnsi"/>
          <w:bCs/>
          <w:sz w:val="20"/>
          <w:szCs w:val="20"/>
        </w:rPr>
        <w:t>s</w:t>
      </w:r>
      <w:r w:rsidRPr="001B4EA4">
        <w:rPr>
          <w:rFonts w:ascii="Verdana" w:hAnsi="Verdana"/>
          <w:sz w:val="20"/>
          <w:szCs w:val="20"/>
        </w:rPr>
        <w:t xml:space="preserve"> Guide to Privatisation</w:t>
      </w:r>
      <w:r w:rsidR="00CF6B74" w:rsidRPr="001B4EA4">
        <w:rPr>
          <w:rFonts w:ascii="Verdana" w:hAnsi="Verdana" w:cstheme="minorHAnsi"/>
          <w:bCs/>
          <w:sz w:val="20"/>
          <w:szCs w:val="20"/>
        </w:rPr>
        <w:t>”</w:t>
      </w:r>
      <w:r w:rsidRPr="001B4EA4">
        <w:rPr>
          <w:rFonts w:ascii="Verdana" w:hAnsi="Verdana" w:cstheme="minorHAnsi"/>
          <w:sz w:val="20"/>
          <w:szCs w:val="20"/>
        </w:rPr>
        <w:t>.</w:t>
      </w:r>
      <w:r w:rsidRPr="001B4EA4">
        <w:rPr>
          <w:rFonts w:ascii="Verdana" w:hAnsi="Verdana"/>
          <w:sz w:val="20"/>
          <w:szCs w:val="20"/>
        </w:rPr>
        <w:t xml:space="preserve"> </w:t>
      </w:r>
      <w:r w:rsidRPr="001B4EA4">
        <w:rPr>
          <w:rFonts w:ascii="Verdana" w:hAnsi="Verdana"/>
          <w:sz w:val="20"/>
          <w:szCs w:val="20"/>
          <w:lang w:val="pt-BR"/>
        </w:rPr>
        <w:t>Paris</w:t>
      </w:r>
      <w:r w:rsidR="00DA502F" w:rsidRPr="001B4EA4">
        <w:rPr>
          <w:rFonts w:ascii="Verdana" w:hAnsi="Verdana" w:cstheme="minorHAnsi"/>
          <w:sz w:val="20"/>
          <w:szCs w:val="20"/>
          <w:lang w:val="pt-BR"/>
        </w:rPr>
        <w:t>,</w:t>
      </w:r>
      <w:r w:rsidRPr="001B4EA4">
        <w:rPr>
          <w:rFonts w:ascii="Verdana" w:hAnsi="Verdana"/>
          <w:sz w:val="20"/>
          <w:szCs w:val="20"/>
          <w:lang w:val="pt-BR"/>
        </w:rPr>
        <w:t xml:space="preserve"> OECD Publishing, 2019. Disponível em: &lt;https://doi.org/10.1787/ea4eff68-en&gt;. Acesso em</w:t>
      </w:r>
      <w:r w:rsidRPr="001B4EA4">
        <w:rPr>
          <w:rFonts w:ascii="Verdana" w:hAnsi="Verdana" w:cstheme="minorHAnsi"/>
          <w:sz w:val="20"/>
          <w:szCs w:val="20"/>
          <w:lang w:val="pt-BR"/>
        </w:rPr>
        <w:t>:</w:t>
      </w:r>
      <w:r w:rsidRPr="001B4EA4">
        <w:rPr>
          <w:rFonts w:ascii="Verdana" w:hAnsi="Verdana"/>
          <w:sz w:val="20"/>
          <w:szCs w:val="20"/>
          <w:lang w:val="pt-BR"/>
        </w:rPr>
        <w:t xml:space="preserve"> 22 jul</w:t>
      </w:r>
      <w:r w:rsidR="00E8333F" w:rsidRPr="001B4EA4">
        <w:rPr>
          <w:rFonts w:ascii="Verdana" w:hAnsi="Verdana"/>
          <w:sz w:val="20"/>
          <w:szCs w:val="20"/>
          <w:lang w:val="pt-BR"/>
        </w:rPr>
        <w:t>.</w:t>
      </w:r>
      <w:r w:rsidRPr="001B4EA4">
        <w:rPr>
          <w:rFonts w:ascii="Verdana" w:hAnsi="Verdana"/>
          <w:sz w:val="20"/>
          <w:szCs w:val="20"/>
          <w:lang w:val="pt-BR"/>
        </w:rPr>
        <w:t xml:space="preserve"> 2019.</w:t>
      </w:r>
    </w:p>
    <w:p w14:paraId="3C108365" w14:textId="4D13CF18" w:rsidR="005A6FB8" w:rsidRPr="001B4EA4" w:rsidRDefault="005A6FB8" w:rsidP="001B4EA4">
      <w:pPr>
        <w:suppressLineNumbers/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>PINHEIRO, Armando Castelar; FUKASAKU, Kiichiro (</w:t>
      </w:r>
      <w:r w:rsidR="00DA502F" w:rsidRPr="001B4EA4">
        <w:rPr>
          <w:rFonts w:ascii="Verdana" w:hAnsi="Verdana" w:cstheme="minorHAnsi"/>
          <w:sz w:val="20"/>
          <w:szCs w:val="20"/>
          <w:lang w:val="pt-BR"/>
        </w:rPr>
        <w:t>ed</w:t>
      </w:r>
      <w:r w:rsidRPr="001B4EA4">
        <w:rPr>
          <w:rFonts w:ascii="Verdana" w:hAnsi="Verdana"/>
          <w:sz w:val="20"/>
          <w:szCs w:val="20"/>
          <w:lang w:val="pt-BR"/>
        </w:rPr>
        <w:t xml:space="preserve">.). </w:t>
      </w:r>
      <w:r w:rsidRPr="001B4EA4">
        <w:rPr>
          <w:rFonts w:ascii="Verdana" w:hAnsi="Verdana"/>
          <w:i/>
          <w:sz w:val="20"/>
          <w:szCs w:val="20"/>
          <w:lang w:val="pt-BR"/>
        </w:rPr>
        <w:t>A privatização no Brasil: o caso dos serviços de utilidade pública</w:t>
      </w:r>
      <w:r w:rsidRPr="001B4EA4">
        <w:rPr>
          <w:rFonts w:ascii="Verdana" w:hAnsi="Verdana"/>
          <w:sz w:val="20"/>
          <w:szCs w:val="20"/>
          <w:lang w:val="pt-BR"/>
        </w:rPr>
        <w:t>. Rio de Janeiro</w:t>
      </w:r>
      <w:r w:rsidR="00DA502F" w:rsidRPr="001B4EA4">
        <w:rPr>
          <w:rFonts w:ascii="Verdana" w:hAnsi="Verdana" w:cstheme="minorHAnsi"/>
          <w:sz w:val="20"/>
          <w:szCs w:val="20"/>
          <w:lang w:val="pt-BR"/>
        </w:rPr>
        <w:t>,</w:t>
      </w:r>
      <w:r w:rsidRPr="001B4EA4">
        <w:rPr>
          <w:rFonts w:ascii="Verdana" w:hAnsi="Verdana"/>
          <w:sz w:val="20"/>
          <w:szCs w:val="20"/>
          <w:lang w:val="pt-BR"/>
        </w:rPr>
        <w:t xml:space="preserve"> Banco Nacional de Desenvolvimento Econômico e Social, 2000.</w:t>
      </w:r>
    </w:p>
    <w:p w14:paraId="257D42A2" w14:textId="65E41524" w:rsidR="00354C21" w:rsidRPr="001B4EA4" w:rsidRDefault="00354C21" w:rsidP="001B4EA4">
      <w:pPr>
        <w:suppressLineNumbers/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>PINTO JUNIOR, Mario Engler.</w:t>
      </w:r>
      <w:r w:rsidR="00275ED3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Pr="001B4EA4">
        <w:rPr>
          <w:rFonts w:ascii="Verdana" w:hAnsi="Verdana"/>
          <w:i/>
          <w:sz w:val="20"/>
          <w:szCs w:val="20"/>
          <w:lang w:val="pt-BR"/>
        </w:rPr>
        <w:t>Empresa estatal: função econômica e dilemas societários</w:t>
      </w:r>
      <w:r w:rsidRPr="001B4EA4">
        <w:rPr>
          <w:rFonts w:ascii="Verdana" w:hAnsi="Verdana"/>
          <w:sz w:val="20"/>
          <w:szCs w:val="20"/>
          <w:lang w:val="pt-BR"/>
        </w:rPr>
        <w:t>.</w:t>
      </w:r>
      <w:r w:rsidR="00275ED3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Pr="001B4EA4">
        <w:rPr>
          <w:rFonts w:ascii="Verdana" w:hAnsi="Verdana"/>
          <w:sz w:val="20"/>
          <w:szCs w:val="20"/>
          <w:lang w:val="pt-BR"/>
        </w:rPr>
        <w:t>São Paulo</w:t>
      </w:r>
      <w:r w:rsidR="00DA502F" w:rsidRPr="001B4EA4">
        <w:rPr>
          <w:rFonts w:ascii="Verdana" w:hAnsi="Verdana" w:cstheme="minorHAnsi"/>
          <w:sz w:val="20"/>
          <w:szCs w:val="20"/>
          <w:lang w:val="pt-BR"/>
        </w:rPr>
        <w:t>,</w:t>
      </w:r>
      <w:r w:rsidRPr="001B4EA4">
        <w:rPr>
          <w:rFonts w:ascii="Verdana" w:hAnsi="Verdana"/>
          <w:sz w:val="20"/>
          <w:szCs w:val="20"/>
          <w:lang w:val="pt-BR"/>
        </w:rPr>
        <w:t xml:space="preserve"> Atlas, 2010.</w:t>
      </w:r>
    </w:p>
    <w:p w14:paraId="51720CFA" w14:textId="7A0BEF80" w:rsidR="00354C21" w:rsidRPr="001B4EA4" w:rsidRDefault="00354C21" w:rsidP="001B4EA4">
      <w:pPr>
        <w:suppressLineNumbers/>
        <w:spacing w:line="276" w:lineRule="auto"/>
        <w:jc w:val="both"/>
        <w:rPr>
          <w:rFonts w:ascii="Verdana" w:hAnsi="Verdana"/>
          <w:sz w:val="20"/>
          <w:szCs w:val="20"/>
        </w:rPr>
      </w:pPr>
      <w:r w:rsidRPr="001B4EA4">
        <w:rPr>
          <w:rFonts w:ascii="Verdana" w:hAnsi="Verdana"/>
          <w:sz w:val="20"/>
          <w:szCs w:val="20"/>
          <w:lang w:val="pt-BR"/>
        </w:rPr>
        <w:t>SANTOS DE ARAGÃO, Alexandre.</w:t>
      </w:r>
      <w:r w:rsidR="00275ED3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Pr="001B4EA4">
        <w:rPr>
          <w:rFonts w:ascii="Verdana" w:hAnsi="Verdana"/>
          <w:i/>
          <w:sz w:val="20"/>
          <w:szCs w:val="20"/>
          <w:lang w:val="pt-BR"/>
        </w:rPr>
        <w:t>Empresas estatais: o regime jurídico das empresas públicas e sociedades de economia mista</w:t>
      </w:r>
      <w:r w:rsidRPr="001B4EA4">
        <w:rPr>
          <w:rFonts w:ascii="Verdana" w:hAnsi="Verdana"/>
          <w:sz w:val="20"/>
          <w:szCs w:val="20"/>
          <w:lang w:val="pt-BR"/>
        </w:rPr>
        <w:t>.</w:t>
      </w:r>
      <w:r w:rsidR="00275ED3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Pr="001B4EA4">
        <w:rPr>
          <w:rFonts w:ascii="Verdana" w:hAnsi="Verdana"/>
          <w:sz w:val="20"/>
          <w:szCs w:val="20"/>
        </w:rPr>
        <w:t>Rio de Janeiro</w:t>
      </w:r>
      <w:r w:rsidR="00DA502F" w:rsidRPr="001B4EA4">
        <w:rPr>
          <w:rFonts w:ascii="Verdana" w:hAnsi="Verdana" w:cstheme="minorHAnsi"/>
          <w:sz w:val="20"/>
          <w:szCs w:val="20"/>
        </w:rPr>
        <w:t>,</w:t>
      </w:r>
      <w:r w:rsidRPr="001B4EA4">
        <w:rPr>
          <w:rFonts w:ascii="Verdana" w:hAnsi="Verdana"/>
          <w:sz w:val="20"/>
          <w:szCs w:val="20"/>
        </w:rPr>
        <w:t xml:space="preserve"> Gen/Forense, 2017.</w:t>
      </w:r>
    </w:p>
    <w:p w14:paraId="1F68C1A4" w14:textId="40101D1B" w:rsidR="00354C21" w:rsidRPr="001B4EA4" w:rsidRDefault="00354C21" w:rsidP="001B4EA4">
      <w:pPr>
        <w:suppressLineNumbers/>
        <w:spacing w:line="276" w:lineRule="auto"/>
        <w:jc w:val="both"/>
        <w:rPr>
          <w:rFonts w:ascii="Verdana" w:hAnsi="Verdana"/>
          <w:color w:val="2A2A2A"/>
          <w:sz w:val="20"/>
          <w:szCs w:val="20"/>
          <w:bdr w:val="none" w:sz="0" w:space="0" w:color="auto" w:frame="1"/>
          <w:shd w:val="clear" w:color="auto" w:fill="FFFFFF"/>
          <w:lang w:val="pt-BR"/>
        </w:rPr>
      </w:pPr>
      <w:r w:rsidRPr="001B4EA4">
        <w:rPr>
          <w:rFonts w:ascii="Verdana" w:hAnsi="Verdana"/>
          <w:color w:val="2A2A2A"/>
          <w:sz w:val="20"/>
          <w:szCs w:val="20"/>
          <w:bdr w:val="none" w:sz="0" w:space="0" w:color="auto" w:frame="1"/>
          <w:shd w:val="clear" w:color="auto" w:fill="FFFFFF"/>
        </w:rPr>
        <w:t xml:space="preserve">SHIRLEY, Mary M. </w:t>
      </w:r>
      <w:r w:rsidR="00DA502F" w:rsidRPr="001B4EA4">
        <w:rPr>
          <w:rFonts w:ascii="Verdana" w:hAnsi="Verdana" w:cstheme="minorHAnsi"/>
          <w:iCs/>
          <w:color w:val="2A2A2A"/>
          <w:sz w:val="20"/>
          <w:szCs w:val="20"/>
          <w:bdr w:val="none" w:sz="0" w:space="0" w:color="auto" w:frame="1"/>
          <w:shd w:val="clear" w:color="auto" w:fill="FFFFFF"/>
        </w:rPr>
        <w:t>“</w:t>
      </w:r>
      <w:r w:rsidRPr="001B4EA4">
        <w:rPr>
          <w:rFonts w:ascii="Verdana" w:hAnsi="Verdana"/>
          <w:color w:val="2A2A2A"/>
          <w:sz w:val="20"/>
          <w:szCs w:val="20"/>
          <w:bdr w:val="none" w:sz="0" w:space="0" w:color="auto" w:frame="1"/>
          <w:shd w:val="clear" w:color="auto" w:fill="FFFFFF"/>
        </w:rPr>
        <w:t>The What, Why, and How of Privatization: A World Bank Perspective</w:t>
      </w:r>
      <w:r w:rsidR="00DA502F" w:rsidRPr="001B4EA4">
        <w:rPr>
          <w:rFonts w:ascii="Verdana" w:hAnsi="Verdana" w:cstheme="minorHAnsi"/>
          <w:iCs/>
          <w:color w:val="2A2A2A"/>
          <w:sz w:val="20"/>
          <w:szCs w:val="20"/>
          <w:bdr w:val="none" w:sz="0" w:space="0" w:color="auto" w:frame="1"/>
          <w:shd w:val="clear" w:color="auto" w:fill="FFFFFF"/>
        </w:rPr>
        <w:t>”</w:t>
      </w:r>
      <w:r w:rsidRPr="001B4EA4">
        <w:rPr>
          <w:rFonts w:ascii="Verdana" w:hAnsi="Verdana" w:cstheme="minorHAnsi"/>
          <w:iCs/>
          <w:color w:val="2A2A2A"/>
          <w:sz w:val="20"/>
          <w:szCs w:val="20"/>
          <w:bdr w:val="none" w:sz="0" w:space="0" w:color="auto" w:frame="1"/>
          <w:shd w:val="clear" w:color="auto" w:fill="FFFFFF"/>
        </w:rPr>
        <w:t>.</w:t>
      </w:r>
      <w:r w:rsidRPr="001B4EA4">
        <w:rPr>
          <w:rFonts w:ascii="Verdana" w:hAnsi="Verdana"/>
          <w:color w:val="2A2A2A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1B4EA4">
        <w:rPr>
          <w:rFonts w:ascii="Verdana" w:hAnsi="Verdana"/>
          <w:i/>
          <w:color w:val="2A2A2A"/>
          <w:sz w:val="20"/>
          <w:szCs w:val="20"/>
          <w:bdr w:val="none" w:sz="0" w:space="0" w:color="auto" w:frame="1"/>
          <w:shd w:val="clear" w:color="auto" w:fill="FFFFFF"/>
          <w:lang w:val="pt-BR"/>
        </w:rPr>
        <w:t>Fordham Law Review</w:t>
      </w:r>
      <w:r w:rsidRPr="001B4EA4">
        <w:rPr>
          <w:rFonts w:ascii="Verdana" w:hAnsi="Verdana"/>
          <w:color w:val="2A2A2A"/>
          <w:sz w:val="20"/>
          <w:szCs w:val="20"/>
          <w:bdr w:val="none" w:sz="0" w:space="0" w:color="auto" w:frame="1"/>
          <w:shd w:val="clear" w:color="auto" w:fill="FFFFFF"/>
          <w:lang w:val="pt-BR"/>
        </w:rPr>
        <w:t xml:space="preserve">, v. 60, n. 6, </w:t>
      </w:r>
      <w:r w:rsidRPr="001B4EA4">
        <w:rPr>
          <w:rFonts w:ascii="Verdana" w:hAnsi="Verdana" w:cstheme="minorHAnsi"/>
          <w:iCs/>
          <w:color w:val="2A2A2A"/>
          <w:sz w:val="20"/>
          <w:szCs w:val="20"/>
          <w:bdr w:val="none" w:sz="0" w:space="0" w:color="auto" w:frame="1"/>
          <w:shd w:val="clear" w:color="auto" w:fill="FFFFFF"/>
          <w:lang w:val="pt-BR"/>
        </w:rPr>
        <w:t>p</w:t>
      </w:r>
      <w:r w:rsidRPr="001B4EA4">
        <w:rPr>
          <w:rFonts w:ascii="Verdana" w:hAnsi="Verdana"/>
          <w:color w:val="2A2A2A"/>
          <w:sz w:val="20"/>
          <w:szCs w:val="20"/>
          <w:bdr w:val="none" w:sz="0" w:space="0" w:color="auto" w:frame="1"/>
          <w:shd w:val="clear" w:color="auto" w:fill="FFFFFF"/>
          <w:lang w:val="pt-BR"/>
        </w:rPr>
        <w:t>. 23-36, 1992.</w:t>
      </w:r>
    </w:p>
    <w:p w14:paraId="10D97CDC" w14:textId="45397B16" w:rsidR="00354C21" w:rsidRPr="001B4EA4" w:rsidRDefault="00354C21" w:rsidP="001B4EA4">
      <w:pPr>
        <w:suppressLineNumbers/>
        <w:spacing w:line="276" w:lineRule="auto"/>
        <w:jc w:val="both"/>
        <w:rPr>
          <w:rFonts w:ascii="Verdana" w:hAnsi="Verdana"/>
          <w:sz w:val="20"/>
          <w:szCs w:val="20"/>
        </w:rPr>
      </w:pPr>
      <w:r w:rsidRPr="001B4EA4">
        <w:rPr>
          <w:rFonts w:ascii="Verdana" w:hAnsi="Verdana"/>
          <w:sz w:val="20"/>
          <w:szCs w:val="20"/>
          <w:lang w:val="pt-BR"/>
        </w:rPr>
        <w:t>SOARES DE CAMARGO, André Antunes.</w:t>
      </w:r>
      <w:r w:rsidR="00275ED3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Pr="001B4EA4">
        <w:rPr>
          <w:rFonts w:ascii="Verdana" w:hAnsi="Verdana"/>
          <w:i/>
          <w:sz w:val="20"/>
          <w:szCs w:val="20"/>
          <w:lang w:val="pt-BR"/>
        </w:rPr>
        <w:t>Aspectos jurídicos do ambiente empresarial brasileiro</w:t>
      </w:r>
      <w:r w:rsidRPr="001B4EA4">
        <w:rPr>
          <w:rFonts w:ascii="Verdana" w:hAnsi="Verdana"/>
          <w:sz w:val="20"/>
          <w:szCs w:val="20"/>
          <w:lang w:val="pt-BR"/>
        </w:rPr>
        <w:t>.</w:t>
      </w:r>
      <w:r w:rsidR="00275ED3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Pr="001B4EA4">
        <w:rPr>
          <w:rFonts w:ascii="Verdana" w:hAnsi="Verdana"/>
          <w:sz w:val="20"/>
          <w:szCs w:val="20"/>
        </w:rPr>
        <w:t>São Paulo</w:t>
      </w:r>
      <w:r w:rsidR="00DA502F" w:rsidRPr="001B4EA4">
        <w:rPr>
          <w:rFonts w:ascii="Verdana" w:hAnsi="Verdana" w:cstheme="minorHAnsi"/>
          <w:sz w:val="20"/>
          <w:szCs w:val="20"/>
        </w:rPr>
        <w:t>,</w:t>
      </w:r>
      <w:r w:rsidRPr="001B4EA4">
        <w:rPr>
          <w:rFonts w:ascii="Verdana" w:hAnsi="Verdana"/>
          <w:sz w:val="20"/>
          <w:szCs w:val="20"/>
        </w:rPr>
        <w:t xml:space="preserve"> Almedina, 2018.</w:t>
      </w:r>
    </w:p>
    <w:p w14:paraId="0297B3F4" w14:textId="2D0C1681" w:rsidR="00354C21" w:rsidRPr="007135F8" w:rsidRDefault="00354C21" w:rsidP="001B4EA4">
      <w:pPr>
        <w:suppressLineNumbers/>
        <w:spacing w:line="276" w:lineRule="auto"/>
        <w:jc w:val="both"/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  <w:lang w:val="pt-BR"/>
        </w:rPr>
      </w:pPr>
      <w:r w:rsidRPr="001B4EA4">
        <w:rPr>
          <w:rFonts w:ascii="Verdana" w:hAnsi="Verdana"/>
          <w:sz w:val="20"/>
          <w:szCs w:val="20"/>
        </w:rPr>
        <w:t xml:space="preserve">STEVENS, Scott. </w:t>
      </w:r>
      <w:r w:rsidR="00DA502F" w:rsidRPr="001B4EA4">
        <w:rPr>
          <w:rFonts w:ascii="Verdana" w:hAnsi="Verdana" w:cstheme="minorHAnsi"/>
          <w:sz w:val="20"/>
          <w:szCs w:val="20"/>
        </w:rPr>
        <w:t>“</w:t>
      </w:r>
      <w:r w:rsidRPr="001B4EA4">
        <w:rPr>
          <w:rFonts w:ascii="Verdana" w:hAnsi="Verdana"/>
          <w:sz w:val="20"/>
          <w:szCs w:val="20"/>
        </w:rPr>
        <w:t>Privatization of the Electric Power Industry of the United Kingdom</w:t>
      </w:r>
      <w:r w:rsidR="00DA502F" w:rsidRPr="001B4EA4">
        <w:rPr>
          <w:rFonts w:ascii="Verdana" w:hAnsi="Verdana" w:cstheme="minorHAnsi"/>
          <w:sz w:val="20"/>
          <w:szCs w:val="20"/>
        </w:rPr>
        <w:t>”</w:t>
      </w:r>
      <w:r w:rsidRPr="001B4EA4">
        <w:rPr>
          <w:rFonts w:ascii="Verdana" w:hAnsi="Verdana" w:cstheme="minorHAnsi"/>
          <w:sz w:val="20"/>
          <w:szCs w:val="20"/>
        </w:rPr>
        <w:t>.</w:t>
      </w:r>
      <w:r w:rsidRPr="001B4EA4">
        <w:rPr>
          <w:rFonts w:ascii="Verdana" w:hAnsi="Verdana"/>
          <w:sz w:val="20"/>
          <w:szCs w:val="20"/>
        </w:rPr>
        <w:t xml:space="preserve"> </w:t>
      </w:r>
      <w:r w:rsidRPr="007135F8">
        <w:rPr>
          <w:rFonts w:ascii="Verdana" w:hAnsi="Verdana"/>
          <w:i/>
          <w:sz w:val="20"/>
          <w:szCs w:val="20"/>
          <w:lang w:val="pt-BR"/>
        </w:rPr>
        <w:t>Energy Studies Review</w:t>
      </w:r>
      <w:r w:rsidRPr="007135F8">
        <w:rPr>
          <w:rFonts w:ascii="Verdana" w:hAnsi="Verdana"/>
          <w:sz w:val="20"/>
          <w:szCs w:val="20"/>
          <w:lang w:val="pt-BR"/>
        </w:rPr>
        <w:t xml:space="preserve">, v. 7, n. 1, </w:t>
      </w:r>
      <w:r w:rsidRPr="007135F8">
        <w:rPr>
          <w:rFonts w:ascii="Verdana" w:hAnsi="Verdana" w:cstheme="minorHAnsi"/>
          <w:sz w:val="20"/>
          <w:szCs w:val="20"/>
          <w:lang w:val="pt-BR"/>
        </w:rPr>
        <w:t>p</w:t>
      </w:r>
      <w:r w:rsidRPr="007135F8">
        <w:rPr>
          <w:rFonts w:ascii="Verdana" w:hAnsi="Verdana"/>
          <w:sz w:val="20"/>
          <w:szCs w:val="20"/>
          <w:lang w:val="pt-BR"/>
        </w:rPr>
        <w:t>. 52-62, 1995.</w:t>
      </w:r>
    </w:p>
    <w:p w14:paraId="10DF5BAE" w14:textId="2C085019" w:rsidR="00354C21" w:rsidRPr="001B4EA4" w:rsidRDefault="00354C21" w:rsidP="001B4EA4">
      <w:pPr>
        <w:suppressLineNumbers/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>SUNFELD, Carlos Ari.</w:t>
      </w:r>
      <w:r w:rsidR="00275ED3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Pr="001B4EA4">
        <w:rPr>
          <w:rFonts w:ascii="Verdana" w:hAnsi="Verdana"/>
          <w:i/>
          <w:sz w:val="20"/>
          <w:szCs w:val="20"/>
          <w:lang w:val="pt-BR"/>
        </w:rPr>
        <w:t>Fundamentos de Direito Público</w:t>
      </w:r>
      <w:r w:rsidRPr="001B4EA4">
        <w:rPr>
          <w:rFonts w:ascii="Verdana" w:hAnsi="Verdana"/>
          <w:sz w:val="20"/>
          <w:szCs w:val="20"/>
          <w:lang w:val="pt-BR"/>
        </w:rPr>
        <w:t>.</w:t>
      </w:r>
      <w:r w:rsidR="00275ED3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="00DA502F" w:rsidRPr="001B4EA4">
        <w:rPr>
          <w:rFonts w:ascii="Verdana" w:hAnsi="Verdana" w:cstheme="minorHAnsi"/>
          <w:sz w:val="20"/>
          <w:szCs w:val="20"/>
          <w:lang w:val="pt-BR"/>
        </w:rPr>
        <w:t>4.</w:t>
      </w:r>
      <w:r w:rsidRPr="001B4EA4">
        <w:rPr>
          <w:rFonts w:ascii="Verdana" w:hAnsi="Verdana"/>
          <w:sz w:val="20"/>
          <w:szCs w:val="20"/>
          <w:lang w:val="pt-BR"/>
        </w:rPr>
        <w:t xml:space="preserve"> ed</w:t>
      </w:r>
      <w:r w:rsidRPr="001B4EA4">
        <w:rPr>
          <w:rFonts w:ascii="Verdana" w:hAnsi="Verdana" w:cstheme="minorHAnsi"/>
          <w:sz w:val="20"/>
          <w:szCs w:val="20"/>
          <w:lang w:val="pt-BR"/>
        </w:rPr>
        <w:t>.</w:t>
      </w:r>
      <w:r w:rsidR="00DA502F" w:rsidRPr="001B4EA4">
        <w:rPr>
          <w:rFonts w:ascii="Verdana" w:hAnsi="Verdana" w:cstheme="minorHAnsi"/>
          <w:sz w:val="20"/>
          <w:szCs w:val="20"/>
          <w:lang w:val="pt-BR"/>
        </w:rPr>
        <w:t>,</w:t>
      </w:r>
      <w:r w:rsidR="00275ED3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Pr="001B4EA4">
        <w:rPr>
          <w:rFonts w:ascii="Verdana" w:hAnsi="Verdana"/>
          <w:sz w:val="20"/>
          <w:szCs w:val="20"/>
          <w:lang w:val="pt-BR"/>
        </w:rPr>
        <w:t>São Paulo</w:t>
      </w:r>
      <w:r w:rsidR="00DA502F" w:rsidRPr="001B4EA4">
        <w:rPr>
          <w:rFonts w:ascii="Verdana" w:hAnsi="Verdana" w:cstheme="minorHAnsi"/>
          <w:sz w:val="20"/>
          <w:szCs w:val="20"/>
          <w:lang w:val="pt-BR"/>
        </w:rPr>
        <w:t>,</w:t>
      </w:r>
      <w:r w:rsidRPr="001B4EA4">
        <w:rPr>
          <w:rFonts w:ascii="Verdana" w:hAnsi="Verdana"/>
          <w:sz w:val="20"/>
          <w:szCs w:val="20"/>
          <w:lang w:val="pt-BR"/>
        </w:rPr>
        <w:t xml:space="preserve"> Malheiros, 2005.</w:t>
      </w:r>
    </w:p>
    <w:p w14:paraId="63CCD2FD" w14:textId="55F59C55" w:rsidR="00354C21" w:rsidRPr="001B4EA4" w:rsidRDefault="00354C21" w:rsidP="001B4EA4">
      <w:pPr>
        <w:suppressLineNumbers/>
        <w:spacing w:line="276" w:lineRule="auto"/>
        <w:jc w:val="both"/>
        <w:rPr>
          <w:rFonts w:ascii="Verdana" w:hAnsi="Verdana"/>
          <w:sz w:val="20"/>
          <w:szCs w:val="20"/>
        </w:rPr>
      </w:pPr>
      <w:r w:rsidRPr="001B4EA4">
        <w:rPr>
          <w:rFonts w:ascii="Verdana" w:hAnsi="Verdana"/>
          <w:sz w:val="20"/>
          <w:szCs w:val="20"/>
          <w:lang w:val="pt-BR"/>
        </w:rPr>
        <w:t>VIARO, Felipe Albertini Nani.</w:t>
      </w:r>
      <w:r w:rsidR="00275ED3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Pr="001B4EA4">
        <w:rPr>
          <w:rFonts w:ascii="Verdana" w:hAnsi="Verdana"/>
          <w:i/>
          <w:sz w:val="20"/>
          <w:szCs w:val="20"/>
          <w:lang w:val="pt-BR"/>
        </w:rPr>
        <w:t>Judicialização: análise doutrinária e verificação no cenário brasileiro</w:t>
      </w:r>
      <w:r w:rsidRPr="001B4EA4">
        <w:rPr>
          <w:rFonts w:ascii="Verdana" w:hAnsi="Verdana"/>
          <w:sz w:val="20"/>
          <w:szCs w:val="20"/>
          <w:lang w:val="pt-BR"/>
        </w:rPr>
        <w:t>.</w:t>
      </w:r>
      <w:r w:rsidR="00275ED3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Pr="001B4EA4">
        <w:rPr>
          <w:rFonts w:ascii="Verdana" w:hAnsi="Verdana"/>
          <w:sz w:val="20"/>
          <w:szCs w:val="20"/>
        </w:rPr>
        <w:t>São Paulo</w:t>
      </w:r>
      <w:r w:rsidR="00DA502F" w:rsidRPr="001B4EA4">
        <w:rPr>
          <w:rFonts w:ascii="Verdana" w:hAnsi="Verdana" w:cstheme="minorHAnsi"/>
          <w:sz w:val="20"/>
          <w:szCs w:val="20"/>
        </w:rPr>
        <w:t>,</w:t>
      </w:r>
      <w:r w:rsidRPr="001B4EA4">
        <w:rPr>
          <w:rFonts w:ascii="Verdana" w:hAnsi="Verdana"/>
          <w:sz w:val="20"/>
          <w:szCs w:val="20"/>
        </w:rPr>
        <w:t xml:space="preserve"> Quartier Latin, 2018.</w:t>
      </w:r>
    </w:p>
    <w:p w14:paraId="43C72E45" w14:textId="774AEC89" w:rsidR="00354C21" w:rsidRPr="001B4EA4" w:rsidRDefault="00354C21" w:rsidP="001B4EA4">
      <w:pPr>
        <w:suppressLineNumbers/>
        <w:spacing w:line="276" w:lineRule="auto"/>
        <w:jc w:val="both"/>
        <w:rPr>
          <w:rFonts w:ascii="Verdana" w:hAnsi="Verdana"/>
          <w:sz w:val="20"/>
          <w:szCs w:val="20"/>
        </w:rPr>
      </w:pPr>
      <w:r w:rsidRPr="001B4EA4">
        <w:rPr>
          <w:rFonts w:ascii="Verdana" w:hAnsi="Verdana"/>
          <w:sz w:val="20"/>
          <w:szCs w:val="20"/>
        </w:rPr>
        <w:t xml:space="preserve">VUYLSTEKE, Charles. </w:t>
      </w:r>
      <w:r w:rsidR="00DA502F" w:rsidRPr="001B4EA4">
        <w:rPr>
          <w:rFonts w:ascii="Verdana" w:hAnsi="Verdana" w:cstheme="minorHAnsi"/>
          <w:sz w:val="20"/>
          <w:szCs w:val="20"/>
        </w:rPr>
        <w:t>“</w:t>
      </w:r>
      <w:r w:rsidRPr="001B4EA4">
        <w:rPr>
          <w:rFonts w:ascii="Verdana" w:hAnsi="Verdana"/>
          <w:sz w:val="20"/>
          <w:szCs w:val="20"/>
        </w:rPr>
        <w:t>Techniques of Privatization of State-Owned Enterprises: Methods and Implementation</w:t>
      </w:r>
      <w:r w:rsidR="00DA502F" w:rsidRPr="001B4EA4">
        <w:rPr>
          <w:rFonts w:ascii="Verdana" w:hAnsi="Verdana" w:cstheme="minorHAnsi"/>
          <w:sz w:val="20"/>
          <w:szCs w:val="20"/>
        </w:rPr>
        <w:t>”</w:t>
      </w:r>
      <w:r w:rsidRPr="001B4EA4">
        <w:rPr>
          <w:rFonts w:ascii="Verdana" w:hAnsi="Verdana" w:cstheme="minorHAnsi"/>
          <w:sz w:val="20"/>
          <w:szCs w:val="20"/>
        </w:rPr>
        <w:t>.</w:t>
      </w:r>
      <w:r w:rsidRPr="001B4EA4">
        <w:rPr>
          <w:rFonts w:ascii="Verdana" w:hAnsi="Verdana"/>
          <w:sz w:val="20"/>
          <w:szCs w:val="20"/>
        </w:rPr>
        <w:t xml:space="preserve"> </w:t>
      </w:r>
      <w:r w:rsidRPr="001B4EA4">
        <w:rPr>
          <w:rFonts w:ascii="Verdana" w:hAnsi="Verdana"/>
          <w:i/>
          <w:sz w:val="20"/>
          <w:szCs w:val="20"/>
        </w:rPr>
        <w:t xml:space="preserve">World Bank Technical Paper Number 88. </w:t>
      </w:r>
      <w:r w:rsidRPr="001B4EA4">
        <w:rPr>
          <w:rFonts w:ascii="Verdana" w:hAnsi="Verdana"/>
          <w:sz w:val="20"/>
          <w:szCs w:val="20"/>
        </w:rPr>
        <w:t>Washington</w:t>
      </w:r>
      <w:r w:rsidR="00DA502F" w:rsidRPr="001B4EA4">
        <w:rPr>
          <w:rFonts w:ascii="Verdana" w:hAnsi="Verdana" w:cstheme="minorHAnsi"/>
          <w:sz w:val="20"/>
          <w:szCs w:val="20"/>
        </w:rPr>
        <w:t>,</w:t>
      </w:r>
      <w:r w:rsidRPr="001B4EA4">
        <w:rPr>
          <w:rFonts w:ascii="Verdana" w:hAnsi="Verdana"/>
          <w:sz w:val="20"/>
          <w:szCs w:val="20"/>
        </w:rPr>
        <w:t xml:space="preserve"> The Word Bank</w:t>
      </w:r>
      <w:r w:rsidR="000379DC" w:rsidRPr="001B4EA4">
        <w:rPr>
          <w:rFonts w:ascii="Verdana" w:hAnsi="Verdana"/>
          <w:sz w:val="20"/>
          <w:szCs w:val="20"/>
        </w:rPr>
        <w:t>,</w:t>
      </w:r>
      <w:r w:rsidRPr="001B4EA4">
        <w:rPr>
          <w:rFonts w:ascii="Verdana" w:hAnsi="Verdana"/>
          <w:sz w:val="20"/>
          <w:szCs w:val="20"/>
        </w:rPr>
        <w:t xml:space="preserve"> 1988.</w:t>
      </w:r>
    </w:p>
    <w:p w14:paraId="4B46D84B" w14:textId="71B32697" w:rsidR="00354C21" w:rsidRPr="001B4EA4" w:rsidRDefault="00354C21" w:rsidP="001B4EA4">
      <w:pPr>
        <w:suppressLineNumbers/>
        <w:spacing w:line="276" w:lineRule="auto"/>
        <w:jc w:val="both"/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  <w:lang w:val="pt-BR"/>
        </w:rPr>
      </w:pPr>
      <w:r w:rsidRPr="001B4EA4">
        <w:rPr>
          <w:rFonts w:ascii="Verdana" w:hAnsi="Verdana"/>
          <w:color w:val="2A2A2A"/>
          <w:sz w:val="20"/>
          <w:szCs w:val="20"/>
          <w:shd w:val="clear" w:color="auto" w:fill="FFFFFF"/>
        </w:rPr>
        <w:t xml:space="preserve">WORLD BANK. </w:t>
      </w:r>
      <w:r w:rsidR="00DA502F" w:rsidRPr="001B4EA4">
        <w:rPr>
          <w:rFonts w:ascii="Verdana" w:hAnsi="Verdana" w:cstheme="minorHAnsi"/>
          <w:color w:val="2A2A2A"/>
          <w:sz w:val="20"/>
          <w:szCs w:val="20"/>
          <w:shd w:val="clear" w:color="auto" w:fill="FFFFFF"/>
        </w:rPr>
        <w:t>“</w:t>
      </w:r>
      <w:r w:rsidRPr="001B4EA4">
        <w:rPr>
          <w:rFonts w:ascii="Verdana" w:hAnsi="Verdana"/>
          <w:color w:val="2A2A2A"/>
          <w:sz w:val="20"/>
          <w:szCs w:val="20"/>
          <w:shd w:val="clear" w:color="auto" w:fill="FFFFFF"/>
        </w:rPr>
        <w:t>Legal Guidelines for Privatization Programs</w:t>
      </w:r>
      <w:r w:rsidR="00DA502F" w:rsidRPr="001B4EA4">
        <w:rPr>
          <w:rFonts w:ascii="Verdana" w:hAnsi="Verdana" w:cstheme="minorHAnsi"/>
          <w:color w:val="2A2A2A"/>
          <w:sz w:val="20"/>
          <w:szCs w:val="20"/>
          <w:shd w:val="clear" w:color="auto" w:fill="FFFFFF"/>
        </w:rPr>
        <w:t>”</w:t>
      </w:r>
      <w:r w:rsidRPr="001B4EA4">
        <w:rPr>
          <w:rFonts w:ascii="Verdana" w:hAnsi="Verdana" w:cstheme="minorHAnsi"/>
          <w:color w:val="2A2A2A"/>
          <w:sz w:val="20"/>
          <w:szCs w:val="20"/>
          <w:shd w:val="clear" w:color="auto" w:fill="FFFFFF"/>
        </w:rPr>
        <w:t>.</w:t>
      </w:r>
      <w:r w:rsidRPr="001B4EA4">
        <w:rPr>
          <w:rFonts w:ascii="Verdana" w:hAnsi="Verdana"/>
          <w:color w:val="2A2A2A"/>
          <w:sz w:val="20"/>
          <w:szCs w:val="20"/>
          <w:shd w:val="clear" w:color="auto" w:fill="FFFFFF"/>
        </w:rPr>
        <w:t> </w:t>
      </w:r>
      <w:r w:rsidRPr="001B4EA4">
        <w:rPr>
          <w:rStyle w:val="nfase"/>
          <w:rFonts w:ascii="Verdana" w:hAnsi="Verdana"/>
          <w:color w:val="2A2A2A"/>
          <w:sz w:val="20"/>
          <w:szCs w:val="20"/>
          <w:bdr w:val="none" w:sz="0" w:space="0" w:color="auto" w:frame="1"/>
          <w:shd w:val="clear" w:color="auto" w:fill="FFFFFF"/>
        </w:rPr>
        <w:t xml:space="preserve">ICSID Review </w:t>
      </w:r>
      <w:r w:rsidR="00DA502F" w:rsidRPr="001B4EA4">
        <w:rPr>
          <w:rStyle w:val="nfase"/>
          <w:rFonts w:ascii="Verdana" w:hAnsi="Verdana"/>
          <w:color w:val="2A2A2A"/>
          <w:sz w:val="20"/>
          <w:szCs w:val="20"/>
          <w:bdr w:val="none" w:sz="0" w:space="0" w:color="auto" w:frame="1"/>
          <w:shd w:val="clear" w:color="auto" w:fill="FFFFFF"/>
        </w:rPr>
        <w:t>–</w:t>
      </w:r>
      <w:r w:rsidRPr="001B4EA4">
        <w:rPr>
          <w:rStyle w:val="nfase"/>
          <w:rFonts w:ascii="Verdana" w:hAnsi="Verdana"/>
          <w:color w:val="2A2A2A"/>
          <w:sz w:val="20"/>
          <w:szCs w:val="20"/>
          <w:bdr w:val="none" w:sz="0" w:space="0" w:color="auto" w:frame="1"/>
          <w:shd w:val="clear" w:color="auto" w:fill="FFFFFF"/>
        </w:rPr>
        <w:t xml:space="preserve"> Foreign Investment Law Journal</w:t>
      </w:r>
      <w:r w:rsidRPr="001B4EA4">
        <w:rPr>
          <w:rFonts w:ascii="Verdana" w:hAnsi="Verdana"/>
          <w:color w:val="2A2A2A"/>
          <w:sz w:val="20"/>
          <w:szCs w:val="20"/>
          <w:shd w:val="clear" w:color="auto" w:fill="FFFFFF"/>
        </w:rPr>
        <w:t xml:space="preserve">, v. 9, n. 1, </w:t>
      </w:r>
      <w:r w:rsidRPr="001B4EA4">
        <w:rPr>
          <w:rFonts w:ascii="Verdana" w:hAnsi="Verdana" w:cstheme="minorHAnsi"/>
          <w:color w:val="2A2A2A"/>
          <w:sz w:val="20"/>
          <w:szCs w:val="20"/>
          <w:shd w:val="clear" w:color="auto" w:fill="FFFFFF"/>
        </w:rPr>
        <w:t>p</w:t>
      </w:r>
      <w:r w:rsidRPr="001B4EA4">
        <w:rPr>
          <w:rFonts w:ascii="Verdana" w:hAnsi="Verdana"/>
          <w:color w:val="2A2A2A"/>
          <w:sz w:val="20"/>
          <w:szCs w:val="20"/>
          <w:shd w:val="clear" w:color="auto" w:fill="FFFFFF"/>
        </w:rPr>
        <w:t xml:space="preserve">. 105-114, </w:t>
      </w:r>
      <w:r w:rsidR="00DA502F" w:rsidRPr="001B4EA4">
        <w:rPr>
          <w:rFonts w:ascii="Verdana" w:hAnsi="Verdana" w:cstheme="minorHAnsi"/>
          <w:color w:val="2A2A2A"/>
          <w:sz w:val="20"/>
          <w:szCs w:val="20"/>
          <w:shd w:val="clear" w:color="auto" w:fill="FFFFFF"/>
        </w:rPr>
        <w:t>m</w:t>
      </w:r>
      <w:r w:rsidRPr="001B4EA4">
        <w:rPr>
          <w:rFonts w:ascii="Verdana" w:hAnsi="Verdana" w:cstheme="minorHAnsi"/>
          <w:color w:val="2A2A2A"/>
          <w:sz w:val="20"/>
          <w:szCs w:val="20"/>
          <w:shd w:val="clear" w:color="auto" w:fill="FFFFFF"/>
        </w:rPr>
        <w:t>ar</w:t>
      </w:r>
      <w:r w:rsidRPr="001B4EA4">
        <w:rPr>
          <w:rFonts w:ascii="Verdana" w:hAnsi="Verdana"/>
          <w:color w:val="2A2A2A"/>
          <w:sz w:val="20"/>
          <w:szCs w:val="20"/>
          <w:shd w:val="clear" w:color="auto" w:fill="FFFFFF"/>
        </w:rPr>
        <w:t xml:space="preserve"> 1994. </w:t>
      </w:r>
      <w:r w:rsidRPr="007135F8">
        <w:rPr>
          <w:rFonts w:ascii="Verdana" w:hAnsi="Verdana"/>
          <w:color w:val="2A2A2A"/>
          <w:sz w:val="20"/>
          <w:szCs w:val="20"/>
          <w:shd w:val="clear" w:color="auto" w:fill="FFFFFF"/>
          <w:lang w:val="pt-BR"/>
        </w:rPr>
        <w:t>Disponível em: </w:t>
      </w:r>
      <w:r w:rsidR="00627403" w:rsidRPr="007135F8">
        <w:rPr>
          <w:rFonts w:ascii="Verdana" w:hAnsi="Verdana"/>
          <w:color w:val="2A2A2A"/>
          <w:sz w:val="20"/>
          <w:szCs w:val="20"/>
          <w:shd w:val="clear" w:color="auto" w:fill="FFFFFF"/>
          <w:lang w:val="pt-BR"/>
        </w:rPr>
        <w:t>&lt;</w:t>
      </w:r>
      <w:r w:rsidR="00627403" w:rsidRPr="007135F8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  <w:lang w:val="pt-BR"/>
        </w:rPr>
        <w:t>https://doi.org/10.1093/icsidreview/9.1.105&gt;</w:t>
      </w:r>
      <w:r w:rsidRPr="007135F8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  <w:lang w:val="pt-BR"/>
        </w:rPr>
        <w:t>.</w:t>
      </w:r>
      <w:r w:rsidR="00DA502F" w:rsidRPr="007135F8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  <w:lang w:val="pt-BR"/>
        </w:rPr>
        <w:t xml:space="preserve"> </w:t>
      </w:r>
      <w:r w:rsidR="00DA502F" w:rsidRPr="001B4EA4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  <w:lang w:val="pt-BR"/>
        </w:rPr>
        <w:t>Acesso em</w:t>
      </w:r>
      <w:r w:rsidR="00627403" w:rsidRPr="001B4EA4">
        <w:rPr>
          <w:rFonts w:ascii="Verdana" w:hAnsi="Verdana" w:cstheme="minorHAnsi"/>
          <w:sz w:val="20"/>
          <w:szCs w:val="20"/>
          <w:bdr w:val="none" w:sz="0" w:space="0" w:color="auto" w:frame="1"/>
          <w:shd w:val="clear" w:color="auto" w:fill="FFFFFF"/>
          <w:lang w:val="pt-BR"/>
        </w:rPr>
        <w:t>:</w:t>
      </w:r>
      <w:r w:rsidR="00627403" w:rsidRPr="001B4EA4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  <w:lang w:val="pt-BR"/>
        </w:rPr>
        <w:t xml:space="preserve"> 22 jul</w:t>
      </w:r>
      <w:r w:rsidR="00A36B9E" w:rsidRPr="001B4EA4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  <w:lang w:val="pt-BR"/>
        </w:rPr>
        <w:t>.</w:t>
      </w:r>
      <w:r w:rsidR="00627403" w:rsidRPr="001B4EA4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  <w:lang w:val="pt-BR"/>
        </w:rPr>
        <w:t xml:space="preserve"> </w:t>
      </w:r>
      <w:r w:rsidR="00CD4E0F" w:rsidRPr="001B4EA4">
        <w:rPr>
          <w:rFonts w:ascii="Verdana" w:hAnsi="Verdana" w:cstheme="minorHAnsi"/>
          <w:sz w:val="20"/>
          <w:szCs w:val="20"/>
          <w:bdr w:val="none" w:sz="0" w:space="0" w:color="auto" w:frame="1"/>
          <w:shd w:val="clear" w:color="auto" w:fill="FFFFFF"/>
          <w:lang w:val="pt-BR"/>
        </w:rPr>
        <w:t>20</w:t>
      </w:r>
      <w:r w:rsidR="00627403" w:rsidRPr="001B4EA4">
        <w:rPr>
          <w:rFonts w:ascii="Verdana" w:hAnsi="Verdana" w:cstheme="minorHAnsi"/>
          <w:sz w:val="20"/>
          <w:szCs w:val="20"/>
          <w:bdr w:val="none" w:sz="0" w:space="0" w:color="auto" w:frame="1"/>
          <w:shd w:val="clear" w:color="auto" w:fill="FFFFFF"/>
          <w:lang w:val="pt-BR"/>
        </w:rPr>
        <w:t>19</w:t>
      </w:r>
      <w:r w:rsidR="00627403" w:rsidRPr="001B4EA4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  <w:lang w:val="pt-BR"/>
        </w:rPr>
        <w:t>.</w:t>
      </w:r>
    </w:p>
    <w:p w14:paraId="75DCEC36" w14:textId="687429F9" w:rsidR="00235756" w:rsidRPr="001B4EA4" w:rsidRDefault="00354C21" w:rsidP="001B4EA4">
      <w:pPr>
        <w:suppressLineNumbers/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  <w:r w:rsidRPr="001B4EA4">
        <w:rPr>
          <w:rFonts w:ascii="Verdana" w:hAnsi="Verdana"/>
          <w:sz w:val="20"/>
          <w:szCs w:val="20"/>
          <w:lang w:val="pt-BR"/>
        </w:rPr>
        <w:t xml:space="preserve">ZANELLA DI PIETRO, Maria Sylvia. </w:t>
      </w:r>
      <w:r w:rsidRPr="001B4EA4">
        <w:rPr>
          <w:rFonts w:ascii="Verdana" w:hAnsi="Verdana"/>
          <w:i/>
          <w:sz w:val="20"/>
          <w:szCs w:val="20"/>
          <w:lang w:val="pt-BR"/>
        </w:rPr>
        <w:t>Parcerias na Administração Pública</w:t>
      </w:r>
      <w:r w:rsidRPr="001B4EA4">
        <w:rPr>
          <w:rFonts w:ascii="Verdana" w:hAnsi="Verdana"/>
          <w:sz w:val="20"/>
          <w:szCs w:val="20"/>
          <w:lang w:val="pt-BR"/>
        </w:rPr>
        <w:t>.</w:t>
      </w:r>
      <w:r w:rsidR="00275ED3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="00CD4E0F" w:rsidRPr="001B4EA4">
        <w:rPr>
          <w:rFonts w:ascii="Verdana" w:hAnsi="Verdana" w:cstheme="minorHAnsi"/>
          <w:sz w:val="20"/>
          <w:szCs w:val="20"/>
          <w:lang w:val="pt-BR"/>
        </w:rPr>
        <w:t>9.</w:t>
      </w:r>
      <w:r w:rsidRPr="001B4EA4">
        <w:rPr>
          <w:rFonts w:ascii="Verdana" w:hAnsi="Verdana"/>
          <w:sz w:val="20"/>
          <w:szCs w:val="20"/>
          <w:lang w:val="pt-BR"/>
        </w:rPr>
        <w:t xml:space="preserve"> ed</w:t>
      </w:r>
      <w:r w:rsidRPr="001B4EA4">
        <w:rPr>
          <w:rFonts w:ascii="Verdana" w:hAnsi="Verdana" w:cstheme="minorHAnsi"/>
          <w:sz w:val="20"/>
          <w:szCs w:val="20"/>
          <w:lang w:val="pt-BR"/>
        </w:rPr>
        <w:t>.</w:t>
      </w:r>
      <w:r w:rsidR="00CD4E0F" w:rsidRPr="001B4EA4">
        <w:rPr>
          <w:rFonts w:ascii="Verdana" w:hAnsi="Verdana" w:cstheme="minorHAnsi"/>
          <w:sz w:val="20"/>
          <w:szCs w:val="20"/>
          <w:lang w:val="pt-BR"/>
        </w:rPr>
        <w:t>,</w:t>
      </w:r>
      <w:r w:rsidR="00275ED3" w:rsidRPr="001B4EA4">
        <w:rPr>
          <w:rFonts w:ascii="Verdana" w:hAnsi="Verdana"/>
          <w:sz w:val="20"/>
          <w:szCs w:val="20"/>
          <w:lang w:val="pt-BR"/>
        </w:rPr>
        <w:t xml:space="preserve"> </w:t>
      </w:r>
      <w:r w:rsidRPr="001B4EA4">
        <w:rPr>
          <w:rFonts w:ascii="Verdana" w:hAnsi="Verdana"/>
          <w:sz w:val="20"/>
          <w:szCs w:val="20"/>
          <w:lang w:val="pt-BR"/>
        </w:rPr>
        <w:t>São Paulo</w:t>
      </w:r>
      <w:r w:rsidR="00CD4E0F" w:rsidRPr="001B4EA4">
        <w:rPr>
          <w:rFonts w:ascii="Verdana" w:hAnsi="Verdana" w:cstheme="minorHAnsi"/>
          <w:sz w:val="20"/>
          <w:szCs w:val="20"/>
          <w:lang w:val="pt-BR"/>
        </w:rPr>
        <w:t>,</w:t>
      </w:r>
      <w:r w:rsidRPr="001B4EA4">
        <w:rPr>
          <w:rFonts w:ascii="Verdana" w:hAnsi="Verdana"/>
          <w:sz w:val="20"/>
          <w:szCs w:val="20"/>
          <w:lang w:val="pt-BR"/>
        </w:rPr>
        <w:t xml:space="preserve"> Atlas, 2012.</w:t>
      </w:r>
    </w:p>
    <w:sectPr w:rsidR="00235756" w:rsidRPr="001B4EA4" w:rsidSect="00271C9D">
      <w:type w:val="continuous"/>
      <w:pgSz w:w="11906" w:h="16838"/>
      <w:pgMar w:top="1418" w:right="1701" w:bottom="2126" w:left="1701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A3FCE2" w14:textId="77777777" w:rsidR="00392DB5" w:rsidRDefault="00392DB5" w:rsidP="00FD64B4">
      <w:pPr>
        <w:spacing w:after="0" w:line="240" w:lineRule="auto"/>
      </w:pPr>
      <w:r>
        <w:separator/>
      </w:r>
    </w:p>
  </w:endnote>
  <w:endnote w:type="continuationSeparator" w:id="0">
    <w:p w14:paraId="1896A374" w14:textId="77777777" w:rsidR="00392DB5" w:rsidRDefault="00392DB5" w:rsidP="00FD64B4">
      <w:pPr>
        <w:spacing w:after="0" w:line="240" w:lineRule="auto"/>
      </w:pPr>
      <w:r>
        <w:continuationSeparator/>
      </w:r>
    </w:p>
  </w:endnote>
  <w:endnote w:type="continuationNotice" w:id="1">
    <w:p w14:paraId="0F54097C" w14:textId="77777777" w:rsidR="00392DB5" w:rsidRDefault="00392D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d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5467A2" w14:textId="47010EB5" w:rsidR="00392DB5" w:rsidRPr="00385BE0" w:rsidRDefault="005945E5" w:rsidP="005945E5">
    <w:pPr>
      <w:pStyle w:val="Rodap"/>
      <w:jc w:val="both"/>
      <w:rPr>
        <w:sz w:val="20"/>
        <w:lang w:val="pt-BR"/>
      </w:rPr>
    </w:pPr>
    <w:r w:rsidRPr="00385BE0">
      <w:rPr>
        <w:rFonts w:ascii="Verdana" w:hAnsi="Verdana"/>
        <w:b/>
        <w:color w:val="FF0000"/>
        <w:sz w:val="22"/>
        <w:lang w:val="pt-BR"/>
      </w:rPr>
      <w:t>Esta é uma versão preliminar, destinada para audiência pública. Não representa recomendação do IBGC. Não deve ser divulgada ou usada para tomada de decisão.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B61AC" w14:textId="77777777" w:rsidR="00392DB5" w:rsidRDefault="00392DB5" w:rsidP="00FD64B4">
      <w:pPr>
        <w:spacing w:after="0" w:line="240" w:lineRule="auto"/>
      </w:pPr>
      <w:r>
        <w:separator/>
      </w:r>
    </w:p>
  </w:footnote>
  <w:footnote w:type="continuationSeparator" w:id="0">
    <w:p w14:paraId="515571FE" w14:textId="77777777" w:rsidR="00392DB5" w:rsidRDefault="00392DB5" w:rsidP="00FD64B4">
      <w:pPr>
        <w:spacing w:after="0" w:line="240" w:lineRule="auto"/>
      </w:pPr>
      <w:r>
        <w:continuationSeparator/>
      </w:r>
    </w:p>
  </w:footnote>
  <w:footnote w:type="continuationNotice" w:id="1">
    <w:p w14:paraId="4CE58D27" w14:textId="77777777" w:rsidR="00392DB5" w:rsidRDefault="00392DB5">
      <w:pPr>
        <w:spacing w:after="0" w:line="240" w:lineRule="auto"/>
      </w:pPr>
    </w:p>
  </w:footnote>
  <w:footnote w:id="2">
    <w:p w14:paraId="7144B183" w14:textId="4EC11232" w:rsidR="00392DB5" w:rsidRPr="001B4EA4" w:rsidRDefault="00392DB5" w:rsidP="001B4EA4">
      <w:pPr>
        <w:pStyle w:val="Textodenotaderodap"/>
        <w:jc w:val="both"/>
        <w:rPr>
          <w:rFonts w:ascii="Cambria" w:hAnsi="Cambria"/>
          <w:sz w:val="18"/>
        </w:rPr>
      </w:pPr>
      <w:r w:rsidRPr="00E1329E">
        <w:rPr>
          <w:rStyle w:val="Refdenotaderodap"/>
          <w:rFonts w:ascii="Cambria" w:hAnsi="Cambria"/>
          <w:sz w:val="18"/>
        </w:rPr>
        <w:footnoteRef/>
      </w:r>
      <w:r w:rsidRPr="001B4EA4">
        <w:rPr>
          <w:rFonts w:ascii="Cambria" w:hAnsi="Cambria"/>
          <w:sz w:val="18"/>
        </w:rPr>
        <w:t xml:space="preserve"> O Programa Nacional de Desestatização </w:t>
      </w:r>
      <w:r>
        <w:rPr>
          <w:rFonts w:ascii="Cambria" w:hAnsi="Cambria"/>
          <w:sz w:val="18"/>
          <w:szCs w:val="18"/>
        </w:rPr>
        <w:t>(</w:t>
      </w:r>
      <w:r w:rsidRPr="001B4EA4">
        <w:rPr>
          <w:rFonts w:ascii="Cambria" w:hAnsi="Cambria"/>
          <w:sz w:val="18"/>
        </w:rPr>
        <w:t>PND</w:t>
      </w:r>
      <w:r>
        <w:rPr>
          <w:rFonts w:ascii="Cambria" w:hAnsi="Cambria"/>
          <w:sz w:val="18"/>
          <w:szCs w:val="18"/>
        </w:rPr>
        <w:t>)</w:t>
      </w:r>
      <w:r w:rsidRPr="001B4EA4">
        <w:rPr>
          <w:rFonts w:ascii="Cambria" w:hAnsi="Cambria"/>
          <w:sz w:val="18"/>
        </w:rPr>
        <w:t xml:space="preserve"> tem como objetivos fundamentais:</w:t>
      </w:r>
    </w:p>
    <w:p w14:paraId="5AEECF50" w14:textId="6104E62F" w:rsidR="00392DB5" w:rsidRPr="001B4EA4" w:rsidRDefault="00392DB5" w:rsidP="001B4EA4">
      <w:pPr>
        <w:pStyle w:val="Textodenotaderodap"/>
        <w:jc w:val="both"/>
        <w:rPr>
          <w:rFonts w:ascii="Cambria" w:hAnsi="Cambria"/>
        </w:rPr>
      </w:pPr>
      <w:r w:rsidRPr="001B4EA4">
        <w:rPr>
          <w:rFonts w:ascii="Cambria" w:hAnsi="Cambria"/>
          <w:sz w:val="18"/>
        </w:rPr>
        <w:t xml:space="preserve">(i) reordenar a posição estratégica do Estado na economia, transferindo à iniciativa privada atividades indevidamente exploradas pelo setor público; (ii) contribuir para a reestruturação econômica do setor público, especialmente através da melhoria do perfil e da redução da dívida pública líquida; (iii) permitir a retomada de investimentos nas empresas e atividades que vierem a ser transferidas à iniciativa privada; (iv) contribuir para a reestruturação econômica do setor privado, especialmente para a modernização da </w:t>
      </w:r>
      <w:r>
        <w:rPr>
          <w:rFonts w:ascii="Cambria" w:hAnsi="Cambria"/>
          <w:sz w:val="18"/>
          <w:szCs w:val="18"/>
        </w:rPr>
        <w:t>infra</w:t>
      </w:r>
      <w:r w:rsidRPr="00CA70ED">
        <w:rPr>
          <w:rFonts w:ascii="Cambria" w:hAnsi="Cambria"/>
          <w:sz w:val="18"/>
          <w:szCs w:val="18"/>
        </w:rPr>
        <w:t>estrutura</w:t>
      </w:r>
      <w:r w:rsidRPr="001B4EA4">
        <w:rPr>
          <w:rFonts w:ascii="Cambria" w:hAnsi="Cambria"/>
          <w:sz w:val="18"/>
        </w:rPr>
        <w:t xml:space="preserve"> e do parque industrial do País, ampliando sua competitividade e reforçando a capacidade empresarial nos diversos setores da economia, inclusive através da concessão de crédito; (v) permitir que a </w:t>
      </w:r>
      <w:r>
        <w:rPr>
          <w:rFonts w:ascii="Cambria" w:hAnsi="Cambria"/>
          <w:sz w:val="18"/>
          <w:szCs w:val="18"/>
        </w:rPr>
        <w:t>a</w:t>
      </w:r>
      <w:r w:rsidRPr="00CA70ED">
        <w:rPr>
          <w:rFonts w:ascii="Cambria" w:hAnsi="Cambria"/>
          <w:sz w:val="18"/>
          <w:szCs w:val="18"/>
        </w:rPr>
        <w:t xml:space="preserve">dministração </w:t>
      </w:r>
      <w:r>
        <w:rPr>
          <w:rFonts w:ascii="Cambria" w:hAnsi="Cambria"/>
          <w:sz w:val="18"/>
          <w:szCs w:val="18"/>
        </w:rPr>
        <w:t>p</w:t>
      </w:r>
      <w:r w:rsidRPr="00CA70ED">
        <w:rPr>
          <w:rFonts w:ascii="Cambria" w:hAnsi="Cambria"/>
          <w:sz w:val="18"/>
          <w:szCs w:val="18"/>
        </w:rPr>
        <w:t>ública</w:t>
      </w:r>
      <w:r w:rsidRPr="001B4EA4">
        <w:rPr>
          <w:rFonts w:ascii="Cambria" w:hAnsi="Cambria"/>
          <w:sz w:val="18"/>
        </w:rPr>
        <w:t xml:space="preserve"> concentre seus esforços nas atividades em que a presença do Estado seja fundamental para a consecução das prioridades nacionais; e (vi) contribuir para o fortalecimento do mercado de capitais, através do acréscimo da oferta de valores mobiliários e da democratização da propriedade do capital das empresas que integrarem o </w:t>
      </w:r>
      <w:r>
        <w:rPr>
          <w:rFonts w:ascii="Cambria" w:hAnsi="Cambria"/>
          <w:sz w:val="18"/>
          <w:szCs w:val="18"/>
        </w:rPr>
        <w:t>p</w:t>
      </w:r>
      <w:r w:rsidRPr="00CA70ED">
        <w:rPr>
          <w:rFonts w:ascii="Cambria" w:hAnsi="Cambria"/>
          <w:sz w:val="18"/>
          <w:szCs w:val="18"/>
        </w:rPr>
        <w:t>rograma</w:t>
      </w:r>
      <w:r w:rsidRPr="001B4EA4">
        <w:rPr>
          <w:rFonts w:ascii="Cambria" w:hAnsi="Cambria"/>
          <w:sz w:val="18"/>
        </w:rPr>
        <w:t>.</w:t>
      </w:r>
    </w:p>
  </w:footnote>
  <w:footnote w:id="3">
    <w:p w14:paraId="1CB6D09B" w14:textId="7377527B" w:rsidR="00392DB5" w:rsidRPr="00FC76D0" w:rsidRDefault="00392DB5" w:rsidP="00E1329E">
      <w:pPr>
        <w:pStyle w:val="Textodenotaderodap"/>
        <w:rPr>
          <w:rFonts w:ascii="Cambria" w:hAnsi="Cambria"/>
        </w:rPr>
      </w:pPr>
      <w:r w:rsidRPr="00FC76D0">
        <w:rPr>
          <w:rStyle w:val="Refdenotaderodap"/>
          <w:rFonts w:ascii="Cambria" w:hAnsi="Cambria"/>
          <w:sz w:val="18"/>
        </w:rPr>
        <w:footnoteRef/>
      </w:r>
      <w:r w:rsidRPr="00FC76D0">
        <w:rPr>
          <w:rFonts w:ascii="Cambria" w:hAnsi="Cambria"/>
          <w:sz w:val="18"/>
          <w:lang w:val="en-US"/>
        </w:rPr>
        <w:t xml:space="preserve"> OCDE. A Policy Maker’s Guide to Privatisation. </w:t>
      </w:r>
      <w:r w:rsidRPr="00FC76D0">
        <w:rPr>
          <w:rFonts w:ascii="Cambria" w:hAnsi="Cambria"/>
          <w:sz w:val="18"/>
        </w:rPr>
        <w:t>Disponível em: &lt; https://read.oecd-ilibrary.org/governance/a-policy-maker-s-guide-to-privatisation_ea4eff68-en&gt;.</w:t>
      </w:r>
    </w:p>
  </w:footnote>
  <w:footnote w:id="4">
    <w:p w14:paraId="4462C389" w14:textId="77777777" w:rsidR="00392DB5" w:rsidRDefault="00392DB5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75481C">
        <w:rPr>
          <w:rFonts w:ascii="Cambria" w:hAnsi="Cambria"/>
          <w:sz w:val="18"/>
        </w:rPr>
        <w:t xml:space="preserve">Efeitos de uma transação que incidem sobre terceiros que não consentiram ou dela não participaram não completamente refletidos nos preços. Externalidades podem ser positivas ou negativas. </w:t>
      </w:r>
    </w:p>
    <w:p w14:paraId="4F0C9723" w14:textId="726B3736" w:rsidR="00392DB5" w:rsidRPr="0075481C" w:rsidRDefault="00392DB5">
      <w:pPr>
        <w:pStyle w:val="Textodenotaderodap"/>
        <w:rPr>
          <w:rFonts w:ascii="Cambria" w:hAnsi="Cambria"/>
        </w:rPr>
      </w:pPr>
      <w:r w:rsidRPr="00EA576D">
        <w:rPr>
          <w:rFonts w:ascii="Cambria" w:hAnsi="Cambria"/>
          <w:sz w:val="18"/>
        </w:rPr>
        <w:t xml:space="preserve">Ver </w:t>
      </w:r>
      <w:r w:rsidRPr="00EA576D">
        <w:rPr>
          <w:rFonts w:ascii="Cambria" w:hAnsi="Cambria"/>
          <w:i/>
          <w:sz w:val="18"/>
        </w:rPr>
        <w:t>Código de Melhores Práticas do IBGC</w:t>
      </w:r>
      <w:r w:rsidRPr="00EA576D">
        <w:rPr>
          <w:rFonts w:ascii="Cambria" w:hAnsi="Cambria"/>
          <w:sz w:val="18"/>
        </w:rPr>
        <w:t xml:space="preserve">, </w:t>
      </w:r>
      <w:r>
        <w:rPr>
          <w:rFonts w:ascii="Cambria" w:hAnsi="Cambria"/>
          <w:sz w:val="18"/>
        </w:rPr>
        <w:t>“Premissas do Código</w:t>
      </w:r>
      <w:r w:rsidRPr="00EA576D">
        <w:rPr>
          <w:rFonts w:ascii="Cambria" w:hAnsi="Cambria"/>
          <w:sz w:val="18"/>
        </w:rPr>
        <w:t>”, subitem 1 “</w:t>
      </w:r>
      <w:r>
        <w:rPr>
          <w:rFonts w:ascii="Cambria" w:hAnsi="Cambria"/>
          <w:sz w:val="18"/>
        </w:rPr>
        <w:t>Evolução no Ambiente de Negócios</w:t>
      </w:r>
      <w:r w:rsidRPr="00EA576D">
        <w:rPr>
          <w:rFonts w:ascii="Cambria" w:hAnsi="Cambria"/>
          <w:sz w:val="18"/>
        </w:rPr>
        <w:t>”, IBGC, 2015</w:t>
      </w:r>
      <w:r>
        <w:rPr>
          <w:rFonts w:ascii="Cambria" w:hAnsi="Cambria"/>
          <w:sz w:val="18"/>
        </w:rPr>
        <w:t>, p.16</w:t>
      </w:r>
      <w:r w:rsidRPr="00EA576D">
        <w:rPr>
          <w:rFonts w:ascii="Cambria" w:hAnsi="Cambria"/>
          <w:sz w:val="18"/>
        </w:rPr>
        <w:t>.</w:t>
      </w:r>
    </w:p>
  </w:footnote>
  <w:footnote w:id="5">
    <w:p w14:paraId="0461140C" w14:textId="1FB7188A" w:rsidR="00392DB5" w:rsidRPr="00DE0FD1" w:rsidRDefault="00392DB5" w:rsidP="00E1329E">
      <w:pPr>
        <w:pStyle w:val="Textodenotaderodap"/>
        <w:rPr>
          <w:rFonts w:ascii="Cambria" w:hAnsi="Cambria"/>
        </w:rPr>
      </w:pPr>
      <w:r w:rsidRPr="00DE0FD1">
        <w:rPr>
          <w:rStyle w:val="Refdenotaderodap"/>
          <w:rFonts w:ascii="Cambria" w:hAnsi="Cambria"/>
        </w:rPr>
        <w:footnoteRef/>
      </w:r>
      <w:r w:rsidRPr="00C019E6">
        <w:rPr>
          <w:rFonts w:ascii="Cambria" w:hAnsi="Cambria"/>
        </w:rPr>
        <w:t xml:space="preserve"> A fase interna se refere ao processo </w:t>
      </w:r>
      <w:r>
        <w:rPr>
          <w:rFonts w:ascii="Cambria" w:hAnsi="Cambria"/>
        </w:rPr>
        <w:t>empreendido</w:t>
      </w:r>
      <w:r w:rsidRPr="00DE0FD1">
        <w:rPr>
          <w:rFonts w:ascii="Cambria" w:hAnsi="Cambria"/>
        </w:rPr>
        <w:t xml:space="preserve"> pela </w:t>
      </w:r>
      <w:r>
        <w:rPr>
          <w:rFonts w:ascii="Cambria" w:hAnsi="Cambria"/>
        </w:rPr>
        <w:t>a</w:t>
      </w:r>
      <w:r w:rsidRPr="00925472">
        <w:rPr>
          <w:rFonts w:ascii="Cambria" w:hAnsi="Cambria"/>
        </w:rPr>
        <w:t xml:space="preserve">dministração </w:t>
      </w:r>
      <w:r>
        <w:rPr>
          <w:rFonts w:ascii="Cambria" w:hAnsi="Cambria"/>
        </w:rPr>
        <w:t>p</w:t>
      </w:r>
      <w:r w:rsidRPr="00925472">
        <w:rPr>
          <w:rFonts w:ascii="Cambria" w:hAnsi="Cambria"/>
        </w:rPr>
        <w:t xml:space="preserve">ública </w:t>
      </w:r>
      <w:r>
        <w:rPr>
          <w:rFonts w:ascii="Cambria" w:hAnsi="Cambria"/>
        </w:rPr>
        <w:t>que envolve</w:t>
      </w:r>
      <w:r w:rsidRPr="00DE0FD1">
        <w:rPr>
          <w:rFonts w:ascii="Cambria" w:hAnsi="Cambria"/>
        </w:rPr>
        <w:t xml:space="preserve"> planejamento, definição do objeto e da modelagem da privatização. Já a fase externa se inicia após a publicação de instrumento convocatório, que divulga aos interessados os elementos da privatização.</w:t>
      </w:r>
    </w:p>
  </w:footnote>
  <w:footnote w:id="6">
    <w:p w14:paraId="0C1EB7D6" w14:textId="251A6B5B" w:rsidR="00392DB5" w:rsidRPr="004A3765" w:rsidRDefault="00392DB5" w:rsidP="00C019E6">
      <w:pPr>
        <w:pStyle w:val="Textodecomentrio"/>
        <w:jc w:val="both"/>
        <w:rPr>
          <w:rFonts w:ascii="Cambria" w:hAnsi="Cambria"/>
          <w:lang w:val="pt-BR"/>
        </w:rPr>
      </w:pPr>
      <w:r w:rsidRPr="004A3765">
        <w:rPr>
          <w:rStyle w:val="Refdenotaderodap"/>
          <w:rFonts w:ascii="Cambria" w:hAnsi="Cambria"/>
          <w:sz w:val="18"/>
        </w:rPr>
        <w:footnoteRef/>
      </w:r>
      <w:r w:rsidRPr="004A3765">
        <w:rPr>
          <w:rFonts w:ascii="Cambria" w:hAnsi="Cambria"/>
          <w:sz w:val="18"/>
          <w:lang w:val="pt-BR"/>
        </w:rPr>
        <w:t xml:space="preserve"> </w:t>
      </w:r>
      <w:r>
        <w:rPr>
          <w:rFonts w:ascii="Cambria" w:hAnsi="Cambria"/>
          <w:sz w:val="18"/>
          <w:lang w:val="pt-BR"/>
        </w:rPr>
        <w:t>Por meio</w:t>
      </w:r>
      <w:r w:rsidRPr="004A3765">
        <w:rPr>
          <w:rFonts w:ascii="Cambria" w:hAnsi="Cambria"/>
          <w:sz w:val="18"/>
          <w:lang w:val="pt-BR"/>
        </w:rPr>
        <w:t xml:space="preserve"> de edital de chamamento público, a administração pública pode proceder à abertura de </w:t>
      </w:r>
      <w:r>
        <w:rPr>
          <w:rFonts w:ascii="Cambria" w:hAnsi="Cambria"/>
          <w:sz w:val="18"/>
          <w:lang w:val="pt-BR"/>
        </w:rPr>
        <w:t>p</w:t>
      </w:r>
      <w:r w:rsidRPr="00925472">
        <w:rPr>
          <w:rFonts w:ascii="Cambria" w:hAnsi="Cambria"/>
          <w:sz w:val="18"/>
          <w:lang w:val="pt-BR"/>
        </w:rPr>
        <w:t>rocedimentos</w:t>
      </w:r>
      <w:r w:rsidRPr="004A3765">
        <w:rPr>
          <w:rFonts w:ascii="Cambria" w:hAnsi="Cambria"/>
          <w:sz w:val="18"/>
          <w:lang w:val="pt-BR"/>
        </w:rPr>
        <w:t xml:space="preserve"> de </w:t>
      </w:r>
      <w:r>
        <w:rPr>
          <w:rFonts w:ascii="Cambria" w:hAnsi="Cambria"/>
          <w:sz w:val="18"/>
          <w:lang w:val="pt-BR"/>
        </w:rPr>
        <w:t>m</w:t>
      </w:r>
      <w:r w:rsidRPr="00925472">
        <w:rPr>
          <w:rFonts w:ascii="Cambria" w:hAnsi="Cambria"/>
          <w:sz w:val="18"/>
          <w:lang w:val="pt-BR"/>
        </w:rPr>
        <w:t>anifestação</w:t>
      </w:r>
      <w:r w:rsidRPr="004A3765">
        <w:rPr>
          <w:rFonts w:ascii="Cambria" w:hAnsi="Cambria"/>
          <w:sz w:val="18"/>
          <w:lang w:val="pt-BR"/>
        </w:rPr>
        <w:t xml:space="preserve"> de </w:t>
      </w:r>
      <w:r>
        <w:rPr>
          <w:rFonts w:ascii="Cambria" w:hAnsi="Cambria"/>
          <w:sz w:val="18"/>
          <w:lang w:val="pt-BR"/>
        </w:rPr>
        <w:t>i</w:t>
      </w:r>
      <w:r w:rsidRPr="00925472">
        <w:rPr>
          <w:rFonts w:ascii="Cambria" w:hAnsi="Cambria"/>
          <w:sz w:val="18"/>
          <w:lang w:val="pt-BR"/>
        </w:rPr>
        <w:t>nteresse</w:t>
      </w:r>
      <w:r w:rsidRPr="004A3765">
        <w:rPr>
          <w:rFonts w:ascii="Cambria" w:hAnsi="Cambria"/>
          <w:sz w:val="18"/>
          <w:lang w:val="pt-BR"/>
        </w:rPr>
        <w:t xml:space="preserve">, por meio dos quais abre-se a possibilidade ao setor privado para que apresente, conforme diretrizes </w:t>
      </w:r>
      <w:r>
        <w:rPr>
          <w:rFonts w:ascii="Cambria" w:hAnsi="Cambria"/>
          <w:sz w:val="18"/>
          <w:lang w:val="pt-BR"/>
        </w:rPr>
        <w:t>pre</w:t>
      </w:r>
      <w:r w:rsidRPr="00925472">
        <w:rPr>
          <w:rFonts w:ascii="Cambria" w:hAnsi="Cambria"/>
          <w:sz w:val="18"/>
          <w:lang w:val="pt-BR"/>
        </w:rPr>
        <w:t>definidas</w:t>
      </w:r>
      <w:r w:rsidRPr="004A3765">
        <w:rPr>
          <w:rFonts w:ascii="Cambria" w:hAnsi="Cambria"/>
          <w:sz w:val="18"/>
          <w:lang w:val="pt-BR"/>
        </w:rPr>
        <w:t>, projetos, levantamentos, investigações ou estudos a fim de subsidiar a estruturação de empreendimentos objeto de concessão ou permissão de serviços públicos, de parceria público-privada, de arrendamento de bens públicos ou de concessão de direito real de uso. Particulares que tenham seus estudos selecionados e utilizados na modelagem do empreendimento podem ser ressarcidos pelos dispêndios suportados para sua elaboração.</w:t>
      </w:r>
    </w:p>
  </w:footnote>
  <w:footnote w:id="7">
    <w:p w14:paraId="10339CC8" w14:textId="7EB9E931" w:rsidR="00392DB5" w:rsidRPr="00DE0FD1" w:rsidRDefault="00392DB5" w:rsidP="00DE0FD1">
      <w:pPr>
        <w:pStyle w:val="Textodenotaderodap"/>
        <w:rPr>
          <w:rFonts w:ascii="Cambria" w:hAnsi="Cambria"/>
        </w:rPr>
      </w:pPr>
      <w:r w:rsidRPr="00DE0FD1">
        <w:rPr>
          <w:rStyle w:val="Refdenotaderodap"/>
          <w:rFonts w:ascii="Cambria" w:hAnsi="Cambria"/>
          <w:sz w:val="18"/>
        </w:rPr>
        <w:footnoteRef/>
      </w:r>
      <w:r w:rsidRPr="00DE0FD1">
        <w:rPr>
          <w:rFonts w:ascii="Cambria" w:hAnsi="Cambria"/>
          <w:sz w:val="18"/>
        </w:rPr>
        <w:t xml:space="preserve"> </w:t>
      </w:r>
      <w:r w:rsidRPr="00DE0FD1">
        <w:rPr>
          <w:rFonts w:ascii="Cambria" w:hAnsi="Cambria"/>
          <w:i/>
          <w:sz w:val="18"/>
        </w:rPr>
        <w:t>Golden shares</w:t>
      </w:r>
      <w:r w:rsidRPr="00DE0FD1">
        <w:rPr>
          <w:rFonts w:ascii="Cambria" w:hAnsi="Cambria"/>
          <w:sz w:val="18"/>
        </w:rPr>
        <w:t xml:space="preserve"> são ações de classe especial que, quando retidas pelo </w:t>
      </w:r>
      <w:r>
        <w:rPr>
          <w:rFonts w:ascii="Cambria" w:hAnsi="Cambria"/>
          <w:sz w:val="18"/>
        </w:rPr>
        <w:t>p</w:t>
      </w:r>
      <w:r w:rsidRPr="00510BA6">
        <w:rPr>
          <w:rFonts w:ascii="Cambria" w:hAnsi="Cambria"/>
          <w:sz w:val="18"/>
        </w:rPr>
        <w:t xml:space="preserve">oder </w:t>
      </w:r>
      <w:r>
        <w:rPr>
          <w:rFonts w:ascii="Cambria" w:hAnsi="Cambria"/>
          <w:sz w:val="18"/>
        </w:rPr>
        <w:t>p</w:t>
      </w:r>
      <w:r w:rsidRPr="00510BA6">
        <w:rPr>
          <w:rFonts w:ascii="Cambria" w:hAnsi="Cambria"/>
          <w:sz w:val="18"/>
        </w:rPr>
        <w:t>úblico</w:t>
      </w:r>
      <w:r w:rsidRPr="00DE0FD1">
        <w:rPr>
          <w:rFonts w:ascii="Cambria" w:hAnsi="Cambria"/>
          <w:sz w:val="18"/>
        </w:rPr>
        <w:t xml:space="preserve"> em processos de privatização, dão ao Estado, mesmo em condição de acionista minoritário, poderes de caráter estratégico sobre decisões da empresa (poder de veto, por exemplo). </w:t>
      </w:r>
    </w:p>
  </w:footnote>
  <w:footnote w:id="8">
    <w:p w14:paraId="17BF1B15" w14:textId="77777777" w:rsidR="00392DB5" w:rsidRDefault="00392DB5">
      <w:pPr>
        <w:pStyle w:val="Textodenotaderodap"/>
        <w:rPr>
          <w:rFonts w:ascii="Cambria" w:hAnsi="Cambria"/>
          <w:sz w:val="18"/>
        </w:rPr>
      </w:pPr>
      <w:r w:rsidRPr="00DE0FD1">
        <w:rPr>
          <w:rStyle w:val="Refdenotaderodap"/>
          <w:rFonts w:ascii="Cambria" w:hAnsi="Cambria"/>
          <w:sz w:val="18"/>
        </w:rPr>
        <w:footnoteRef/>
      </w:r>
      <w:r w:rsidRPr="00DE0FD1">
        <w:rPr>
          <w:rFonts w:ascii="Cambria" w:hAnsi="Cambria"/>
          <w:sz w:val="18"/>
        </w:rPr>
        <w:t xml:space="preserve"> </w:t>
      </w:r>
      <w:r w:rsidRPr="00DE0FD1">
        <w:rPr>
          <w:rFonts w:ascii="Cambria" w:hAnsi="Cambria"/>
          <w:i/>
          <w:sz w:val="18"/>
        </w:rPr>
        <w:t xml:space="preserve">Poison pill </w:t>
      </w:r>
      <w:r w:rsidRPr="00DE0FD1">
        <w:rPr>
          <w:rFonts w:ascii="Cambria" w:hAnsi="Cambria"/>
          <w:sz w:val="18"/>
        </w:rPr>
        <w:t xml:space="preserve">é uma cláusula que dificulta a aquisição do controle de empresas com capital pulverizado por meio de ofertas hostis, </w:t>
      </w:r>
      <w:r>
        <w:rPr>
          <w:rFonts w:ascii="Cambria" w:hAnsi="Cambria"/>
          <w:sz w:val="18"/>
        </w:rPr>
        <w:t xml:space="preserve">aquelas </w:t>
      </w:r>
      <w:r w:rsidRPr="00DE0FD1">
        <w:rPr>
          <w:rFonts w:ascii="Cambria" w:hAnsi="Cambria"/>
          <w:sz w:val="18"/>
        </w:rPr>
        <w:t>que ocorrem sem consulta à administração</w:t>
      </w:r>
      <w:r>
        <w:rPr>
          <w:rFonts w:ascii="Cambria" w:hAnsi="Cambria"/>
          <w:sz w:val="18"/>
        </w:rPr>
        <w:t>. O objetivo do mecanismo é</w:t>
      </w:r>
      <w:r w:rsidRPr="00DE0FD1">
        <w:rPr>
          <w:rFonts w:ascii="Cambria" w:hAnsi="Cambria"/>
          <w:sz w:val="18"/>
        </w:rPr>
        <w:t xml:space="preserve"> proteger os interesses dos acionistas minoritários. </w:t>
      </w:r>
    </w:p>
    <w:p w14:paraId="3BE276FC" w14:textId="5658A38D" w:rsidR="00392DB5" w:rsidRPr="00DE0FD1" w:rsidRDefault="00392DB5">
      <w:pPr>
        <w:pStyle w:val="Textodenotaderodap"/>
        <w:rPr>
          <w:rFonts w:ascii="Cambria" w:hAnsi="Cambria"/>
        </w:rPr>
      </w:pPr>
      <w:r w:rsidRPr="00EA576D">
        <w:rPr>
          <w:rFonts w:ascii="Cambria" w:hAnsi="Cambria"/>
          <w:sz w:val="18"/>
        </w:rPr>
        <w:t xml:space="preserve">Ver </w:t>
      </w:r>
      <w:r w:rsidRPr="00EA576D">
        <w:rPr>
          <w:rFonts w:ascii="Cambria" w:hAnsi="Cambria"/>
          <w:i/>
          <w:sz w:val="18"/>
        </w:rPr>
        <w:t>Código de Melhores Práticas do IBGC</w:t>
      </w:r>
      <w:r w:rsidRPr="00EA576D">
        <w:rPr>
          <w:rFonts w:ascii="Cambria" w:hAnsi="Cambria"/>
          <w:sz w:val="18"/>
        </w:rPr>
        <w:t>, capítulo 1 “Sócios”, subitem 1.3 “3 Mecanismos de proteção contra tomada de controle (</w:t>
      </w:r>
      <w:r w:rsidRPr="00EA576D">
        <w:rPr>
          <w:rFonts w:ascii="Cambria" w:hAnsi="Cambria"/>
          <w:i/>
          <w:sz w:val="18"/>
        </w:rPr>
        <w:t>poison pills</w:t>
      </w:r>
      <w:r w:rsidRPr="00EA576D">
        <w:rPr>
          <w:rFonts w:ascii="Cambria" w:hAnsi="Cambria"/>
          <w:sz w:val="18"/>
        </w:rPr>
        <w:t>)”, IBGC, 2015.</w:t>
      </w:r>
    </w:p>
  </w:footnote>
  <w:footnote w:id="9">
    <w:p w14:paraId="3ACBE897" w14:textId="41A2B8FC" w:rsidR="00392DB5" w:rsidRPr="00707F67" w:rsidRDefault="00392DB5" w:rsidP="00E1329E">
      <w:pPr>
        <w:pStyle w:val="Textodenotaderodap"/>
        <w:rPr>
          <w:rFonts w:ascii="Cambria" w:hAnsi="Cambria"/>
        </w:rPr>
      </w:pPr>
      <w:r w:rsidRPr="00E1329E">
        <w:rPr>
          <w:rStyle w:val="Refdenotaderodap"/>
          <w:rFonts w:ascii="Cambria" w:hAnsi="Cambria"/>
          <w:sz w:val="18"/>
        </w:rPr>
        <w:footnoteRef/>
      </w:r>
      <w:r w:rsidRPr="00E1329E">
        <w:rPr>
          <w:rFonts w:ascii="Cambria" w:hAnsi="Cambria"/>
          <w:sz w:val="18"/>
        </w:rPr>
        <w:t xml:space="preserve"> As agências reguladoras têm função de monitorar, fiscalizar, regular, punir e planejar setores específicos, em conformidade com a políticas públicas traçadas pela </w:t>
      </w:r>
      <w:r>
        <w:rPr>
          <w:rFonts w:ascii="Cambria" w:hAnsi="Cambria"/>
          <w:sz w:val="18"/>
        </w:rPr>
        <w:t>a</w:t>
      </w:r>
      <w:r w:rsidRPr="0083462F">
        <w:rPr>
          <w:rFonts w:ascii="Cambria" w:hAnsi="Cambria"/>
          <w:sz w:val="18"/>
        </w:rPr>
        <w:t xml:space="preserve">dministração </w:t>
      </w:r>
      <w:r>
        <w:rPr>
          <w:rFonts w:ascii="Cambria" w:hAnsi="Cambria"/>
          <w:sz w:val="18"/>
        </w:rPr>
        <w:t>p</w:t>
      </w:r>
      <w:r w:rsidRPr="0083462F">
        <w:rPr>
          <w:rFonts w:ascii="Cambria" w:hAnsi="Cambria"/>
          <w:sz w:val="18"/>
        </w:rPr>
        <w:t>ública</w:t>
      </w:r>
      <w:r w:rsidRPr="00707F67">
        <w:rPr>
          <w:rFonts w:ascii="Cambria" w:hAnsi="Cambria"/>
          <w:sz w:val="18"/>
        </w:rPr>
        <w:t xml:space="preserve"> com base na Constituição Federal. A lei instituidora de cada agência especifica a matéria sobre a qual a entidade exerce sua competência, o que deve ser feito de forma autônoma, técnica e independente.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25ED0" w14:textId="267DA2B1" w:rsidR="00392DB5" w:rsidRDefault="006F538F">
    <w:pPr>
      <w:pStyle w:val="Cabealho"/>
    </w:pPr>
    <w:sdt>
      <w:sdtPr>
        <w:id w:val="514041316"/>
        <w:docPartObj>
          <w:docPartGallery w:val="Watermarks"/>
          <w:docPartUnique/>
        </w:docPartObj>
      </w:sdtPr>
      <w:sdtEndPr/>
      <w:sdtContent>
        <w:r>
          <w:pict w14:anchorId="3D5D79A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72102064" o:spid="_x0000_s35841" type="#_x0000_t136" style="position:absolute;margin-left:0;margin-top:0;width:504.15pt;height:95.2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AUDIÊNCIA PÚBLICA"/>
              <w10:wrap anchorx="margin" anchory="margin"/>
            </v:shape>
          </w:pict>
        </w:r>
      </w:sdtContent>
    </w:sdt>
    <w:sdt>
      <w:sdtPr>
        <w:id w:val="-2062237537"/>
        <w:docPartObj>
          <w:docPartGallery w:val="Page Numbers (Top of Page)"/>
          <w:docPartUnique/>
        </w:docPartObj>
      </w:sdtPr>
      <w:sdtEndPr/>
      <w:sdtContent>
        <w:r w:rsidR="00392DB5">
          <w:fldChar w:fldCharType="begin"/>
        </w:r>
        <w:r w:rsidR="00392DB5">
          <w:instrText>PAGE   \* MERGEFORMAT</w:instrText>
        </w:r>
        <w:r w:rsidR="00392DB5">
          <w:fldChar w:fldCharType="separate"/>
        </w:r>
        <w:r w:rsidRPr="006F538F">
          <w:rPr>
            <w:noProof/>
            <w:lang w:val="pt-BR"/>
          </w:rPr>
          <w:t>1</w:t>
        </w:r>
        <w:r w:rsidR="00392DB5">
          <w:fldChar w:fldCharType="end"/>
        </w:r>
        <w:r w:rsidR="005945E5">
          <w:t xml:space="preserve"> </w:t>
        </w:r>
      </w:sdtContent>
    </w:sdt>
  </w:p>
  <w:p w14:paraId="72515DE3" w14:textId="77777777" w:rsidR="00392DB5" w:rsidRDefault="00392D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043AE"/>
    <w:multiLevelType w:val="hybridMultilevel"/>
    <w:tmpl w:val="60E0D57C"/>
    <w:lvl w:ilvl="0" w:tplc="78360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86B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42A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B4ED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12AA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3C2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C492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D885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DC99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B01A5C"/>
    <w:multiLevelType w:val="hybridMultilevel"/>
    <w:tmpl w:val="9D94BB50"/>
    <w:lvl w:ilvl="0" w:tplc="904060F8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4BA7F4D"/>
    <w:multiLevelType w:val="hybridMultilevel"/>
    <w:tmpl w:val="0E3C85CC"/>
    <w:lvl w:ilvl="0" w:tplc="F496BD34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62D2A79"/>
    <w:multiLevelType w:val="multilevel"/>
    <w:tmpl w:val="4DEA81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86005FE"/>
    <w:multiLevelType w:val="hybridMultilevel"/>
    <w:tmpl w:val="CD5AA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D5590"/>
    <w:multiLevelType w:val="hybridMultilevel"/>
    <w:tmpl w:val="963845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128ED"/>
    <w:multiLevelType w:val="hybridMultilevel"/>
    <w:tmpl w:val="AF52515A"/>
    <w:lvl w:ilvl="0" w:tplc="5B10DD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B20617A"/>
    <w:multiLevelType w:val="hybridMultilevel"/>
    <w:tmpl w:val="AB0C6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D3B65"/>
    <w:multiLevelType w:val="hybridMultilevel"/>
    <w:tmpl w:val="867A5D4A"/>
    <w:lvl w:ilvl="0" w:tplc="466E53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B6E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F0B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8AF3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C695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AA97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76A7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F23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AA7A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416ADA"/>
    <w:multiLevelType w:val="hybridMultilevel"/>
    <w:tmpl w:val="05AA858A"/>
    <w:lvl w:ilvl="0" w:tplc="711473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427E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8C3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B21C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96FF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26F9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50C3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884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488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1206FDB"/>
    <w:multiLevelType w:val="hybridMultilevel"/>
    <w:tmpl w:val="0C7C63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E528F"/>
    <w:multiLevelType w:val="hybridMultilevel"/>
    <w:tmpl w:val="0E3C85CC"/>
    <w:lvl w:ilvl="0" w:tplc="F496BD34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34548AF"/>
    <w:multiLevelType w:val="hybridMultilevel"/>
    <w:tmpl w:val="0E3C85CC"/>
    <w:lvl w:ilvl="0" w:tplc="F496BD34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506071D"/>
    <w:multiLevelType w:val="hybridMultilevel"/>
    <w:tmpl w:val="3BEAFB90"/>
    <w:lvl w:ilvl="0" w:tplc="72C6B8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2682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98E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780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CE01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905E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F43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182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3CE3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5527836"/>
    <w:multiLevelType w:val="hybridMultilevel"/>
    <w:tmpl w:val="EE048F3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" w15:restartNumberingAfterBreak="0">
    <w:nsid w:val="29D21B51"/>
    <w:multiLevelType w:val="hybridMultilevel"/>
    <w:tmpl w:val="0E3C85CC"/>
    <w:lvl w:ilvl="0" w:tplc="F496BD34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9CE514D"/>
    <w:multiLevelType w:val="hybridMultilevel"/>
    <w:tmpl w:val="AB0C6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35824"/>
    <w:multiLevelType w:val="hybridMultilevel"/>
    <w:tmpl w:val="9328D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467A43"/>
    <w:multiLevelType w:val="hybridMultilevel"/>
    <w:tmpl w:val="DDF6C176"/>
    <w:lvl w:ilvl="0" w:tplc="4EEE72D6">
      <w:start w:val="1"/>
      <w:numFmt w:val="decimal"/>
      <w:lvlText w:val="(%1)"/>
      <w:lvlJc w:val="left"/>
      <w:pPr>
        <w:ind w:left="1860" w:hanging="4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A916E3B"/>
    <w:multiLevelType w:val="hybridMultilevel"/>
    <w:tmpl w:val="4A74CC1E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541900B5"/>
    <w:multiLevelType w:val="hybridMultilevel"/>
    <w:tmpl w:val="A76ECCE0"/>
    <w:lvl w:ilvl="0" w:tplc="20E2CD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92E4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FC3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5CA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20BF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260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02EF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E080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BA7C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84B76B7"/>
    <w:multiLevelType w:val="hybridMultilevel"/>
    <w:tmpl w:val="CD5AA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4C215C"/>
    <w:multiLevelType w:val="multilevel"/>
    <w:tmpl w:val="6FBAD0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Verdana" w:eastAsiaTheme="majorEastAsia" w:hAnsi="Verdana" w:cstheme="maj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AC33F48"/>
    <w:multiLevelType w:val="hybridMultilevel"/>
    <w:tmpl w:val="C5EEBB44"/>
    <w:lvl w:ilvl="0" w:tplc="0416000F">
      <w:start w:val="1"/>
      <w:numFmt w:val="decimal"/>
      <w:lvlText w:val="%1."/>
      <w:lvlJc w:val="left"/>
      <w:pPr>
        <w:ind w:left="5676" w:hanging="360"/>
      </w:pPr>
    </w:lvl>
    <w:lvl w:ilvl="1" w:tplc="04160019" w:tentative="1">
      <w:start w:val="1"/>
      <w:numFmt w:val="lowerLetter"/>
      <w:lvlText w:val="%2."/>
      <w:lvlJc w:val="left"/>
      <w:pPr>
        <w:ind w:left="6396" w:hanging="360"/>
      </w:pPr>
    </w:lvl>
    <w:lvl w:ilvl="2" w:tplc="0416001B" w:tentative="1">
      <w:start w:val="1"/>
      <w:numFmt w:val="lowerRoman"/>
      <w:lvlText w:val="%3."/>
      <w:lvlJc w:val="right"/>
      <w:pPr>
        <w:ind w:left="7116" w:hanging="180"/>
      </w:pPr>
    </w:lvl>
    <w:lvl w:ilvl="3" w:tplc="0416000F" w:tentative="1">
      <w:start w:val="1"/>
      <w:numFmt w:val="decimal"/>
      <w:lvlText w:val="%4."/>
      <w:lvlJc w:val="left"/>
      <w:pPr>
        <w:ind w:left="7836" w:hanging="360"/>
      </w:pPr>
    </w:lvl>
    <w:lvl w:ilvl="4" w:tplc="04160019" w:tentative="1">
      <w:start w:val="1"/>
      <w:numFmt w:val="lowerLetter"/>
      <w:lvlText w:val="%5."/>
      <w:lvlJc w:val="left"/>
      <w:pPr>
        <w:ind w:left="8556" w:hanging="360"/>
      </w:pPr>
    </w:lvl>
    <w:lvl w:ilvl="5" w:tplc="0416001B" w:tentative="1">
      <w:start w:val="1"/>
      <w:numFmt w:val="lowerRoman"/>
      <w:lvlText w:val="%6."/>
      <w:lvlJc w:val="right"/>
      <w:pPr>
        <w:ind w:left="9276" w:hanging="180"/>
      </w:pPr>
    </w:lvl>
    <w:lvl w:ilvl="6" w:tplc="0416000F" w:tentative="1">
      <w:start w:val="1"/>
      <w:numFmt w:val="decimal"/>
      <w:lvlText w:val="%7."/>
      <w:lvlJc w:val="left"/>
      <w:pPr>
        <w:ind w:left="9996" w:hanging="360"/>
      </w:pPr>
    </w:lvl>
    <w:lvl w:ilvl="7" w:tplc="04160019" w:tentative="1">
      <w:start w:val="1"/>
      <w:numFmt w:val="lowerLetter"/>
      <w:lvlText w:val="%8."/>
      <w:lvlJc w:val="left"/>
      <w:pPr>
        <w:ind w:left="10716" w:hanging="360"/>
      </w:pPr>
    </w:lvl>
    <w:lvl w:ilvl="8" w:tplc="0416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24" w15:restartNumberingAfterBreak="0">
    <w:nsid w:val="5B424583"/>
    <w:multiLevelType w:val="hybridMultilevel"/>
    <w:tmpl w:val="C956946E"/>
    <w:lvl w:ilvl="0" w:tplc="B66CF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8019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28F3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5C6E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263A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F4B1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A2E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86F5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C27B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98276A"/>
    <w:multiLevelType w:val="hybridMultilevel"/>
    <w:tmpl w:val="0E3C85CC"/>
    <w:lvl w:ilvl="0" w:tplc="F496BD34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C126FDD"/>
    <w:multiLevelType w:val="multilevel"/>
    <w:tmpl w:val="171E2B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C8A51E3"/>
    <w:multiLevelType w:val="hybridMultilevel"/>
    <w:tmpl w:val="6204B4E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DE97BB6"/>
    <w:multiLevelType w:val="hybridMultilevel"/>
    <w:tmpl w:val="B0BC8B82"/>
    <w:lvl w:ilvl="0" w:tplc="8724FD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7A4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E2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EC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EA2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D2AA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6E2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5A92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005C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3FA382C"/>
    <w:multiLevelType w:val="multilevel"/>
    <w:tmpl w:val="835CFC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30" w15:restartNumberingAfterBreak="0">
    <w:nsid w:val="65745310"/>
    <w:multiLevelType w:val="hybridMultilevel"/>
    <w:tmpl w:val="9CF868AA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658F7227"/>
    <w:multiLevelType w:val="multilevel"/>
    <w:tmpl w:val="0D84EB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2" w15:restartNumberingAfterBreak="0">
    <w:nsid w:val="66675D78"/>
    <w:multiLevelType w:val="hybridMultilevel"/>
    <w:tmpl w:val="44E8FA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32AFF"/>
    <w:multiLevelType w:val="multilevel"/>
    <w:tmpl w:val="58E4873A"/>
    <w:styleLink w:val="111111"/>
    <w:lvl w:ilvl="0">
      <w:start w:val="1"/>
      <w:numFmt w:val="decimal"/>
      <w:lvlText w:val="%1."/>
      <w:lvlJc w:val="left"/>
      <w:pPr>
        <w:tabs>
          <w:tab w:val="num" w:pos="2552"/>
        </w:tabs>
        <w:ind w:left="0" w:firstLine="1418"/>
      </w:pPr>
      <w:rPr>
        <w:rFonts w:asciiTheme="minorHAnsi" w:hAnsiTheme="minorHAnsi" w:hint="default"/>
        <w:sz w:val="23"/>
      </w:rPr>
    </w:lvl>
    <w:lvl w:ilvl="1">
      <w:start w:val="1"/>
      <w:numFmt w:val="decimal"/>
      <w:lvlText w:val="%1.%2."/>
      <w:lvlJc w:val="left"/>
      <w:pPr>
        <w:tabs>
          <w:tab w:val="num" w:pos="2552"/>
        </w:tabs>
        <w:ind w:left="0" w:firstLine="1418"/>
      </w:pPr>
      <w:rPr>
        <w:rFonts w:asciiTheme="minorHAnsi" w:hAnsiTheme="minorHAnsi" w:hint="default"/>
        <w:sz w:val="23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0" w:firstLine="1418"/>
      </w:pPr>
      <w:rPr>
        <w:rFonts w:asciiTheme="minorHAnsi" w:hAnsiTheme="minorHAnsi" w:hint="default"/>
        <w:sz w:val="23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0" w:firstLine="1418"/>
      </w:pPr>
      <w:rPr>
        <w:rFonts w:asciiTheme="minorHAnsi" w:hAnsiTheme="minorHAnsi" w:hint="default"/>
        <w:sz w:val="23"/>
      </w:rPr>
    </w:lvl>
    <w:lvl w:ilvl="4">
      <w:start w:val="1"/>
      <w:numFmt w:val="decimal"/>
      <w:lvlText w:val="%1.%2.%3.%4.%5."/>
      <w:lvlJc w:val="left"/>
      <w:pPr>
        <w:tabs>
          <w:tab w:val="num" w:pos="2552"/>
        </w:tabs>
        <w:ind w:left="0" w:firstLine="1418"/>
      </w:pPr>
      <w:rPr>
        <w:rFonts w:asciiTheme="minorHAnsi" w:hAnsiTheme="minorHAnsi" w:hint="default"/>
        <w:sz w:val="23"/>
      </w:rPr>
    </w:lvl>
    <w:lvl w:ilvl="5">
      <w:start w:val="1"/>
      <w:numFmt w:val="decimal"/>
      <w:lvlText w:val="%1.%2.%3.%4.%5.%6."/>
      <w:lvlJc w:val="left"/>
      <w:pPr>
        <w:tabs>
          <w:tab w:val="num" w:pos="2552"/>
        </w:tabs>
        <w:ind w:left="0" w:firstLine="1418"/>
      </w:pPr>
      <w:rPr>
        <w:rFonts w:asciiTheme="minorHAnsi" w:hAnsiTheme="minorHAnsi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0" w:firstLine="1418"/>
      </w:pPr>
      <w:rPr>
        <w:rFonts w:asciiTheme="minorHAnsi" w:hAnsiTheme="minorHAnsi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2552"/>
        </w:tabs>
        <w:ind w:left="0" w:firstLine="1418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2552"/>
        </w:tabs>
        <w:ind w:left="0" w:firstLine="1418"/>
      </w:pPr>
      <w:rPr>
        <w:rFonts w:asciiTheme="minorHAnsi" w:hAnsiTheme="minorHAnsi" w:hint="default"/>
        <w:sz w:val="22"/>
      </w:rPr>
    </w:lvl>
  </w:abstractNum>
  <w:abstractNum w:abstractNumId="34" w15:restartNumberingAfterBreak="0">
    <w:nsid w:val="72BB2ED2"/>
    <w:multiLevelType w:val="hybridMultilevel"/>
    <w:tmpl w:val="0E3C85CC"/>
    <w:lvl w:ilvl="0" w:tplc="F496BD34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9087C16"/>
    <w:multiLevelType w:val="hybridMultilevel"/>
    <w:tmpl w:val="B4EA12EA"/>
    <w:lvl w:ilvl="0" w:tplc="86A857EE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B3855B4"/>
    <w:multiLevelType w:val="hybridMultilevel"/>
    <w:tmpl w:val="348C32E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EDB7B2E"/>
    <w:multiLevelType w:val="hybridMultilevel"/>
    <w:tmpl w:val="0E3C85CC"/>
    <w:lvl w:ilvl="0" w:tplc="F496BD34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6"/>
  </w:num>
  <w:num w:numId="3">
    <w:abstractNumId w:val="0"/>
  </w:num>
  <w:num w:numId="4">
    <w:abstractNumId w:val="6"/>
  </w:num>
  <w:num w:numId="5">
    <w:abstractNumId w:val="17"/>
  </w:num>
  <w:num w:numId="6">
    <w:abstractNumId w:val="21"/>
  </w:num>
  <w:num w:numId="7">
    <w:abstractNumId w:val="3"/>
  </w:num>
  <w:num w:numId="8">
    <w:abstractNumId w:val="29"/>
  </w:num>
  <w:num w:numId="9">
    <w:abstractNumId w:val="36"/>
  </w:num>
  <w:num w:numId="10">
    <w:abstractNumId w:val="14"/>
  </w:num>
  <w:num w:numId="11">
    <w:abstractNumId w:val="4"/>
  </w:num>
  <w:num w:numId="12">
    <w:abstractNumId w:val="31"/>
  </w:num>
  <w:num w:numId="13">
    <w:abstractNumId w:val="22"/>
  </w:num>
  <w:num w:numId="14">
    <w:abstractNumId w:val="15"/>
  </w:num>
  <w:num w:numId="15">
    <w:abstractNumId w:val="32"/>
  </w:num>
  <w:num w:numId="16">
    <w:abstractNumId w:val="18"/>
  </w:num>
  <w:num w:numId="17">
    <w:abstractNumId w:val="2"/>
  </w:num>
  <w:num w:numId="18">
    <w:abstractNumId w:val="34"/>
  </w:num>
  <w:num w:numId="19">
    <w:abstractNumId w:val="33"/>
  </w:num>
  <w:num w:numId="20">
    <w:abstractNumId w:val="33"/>
  </w:num>
  <w:num w:numId="21">
    <w:abstractNumId w:val="33"/>
  </w:num>
  <w:num w:numId="22">
    <w:abstractNumId w:val="37"/>
  </w:num>
  <w:num w:numId="23">
    <w:abstractNumId w:val="23"/>
  </w:num>
  <w:num w:numId="24">
    <w:abstractNumId w:val="5"/>
  </w:num>
  <w:num w:numId="25">
    <w:abstractNumId w:val="12"/>
  </w:num>
  <w:num w:numId="26">
    <w:abstractNumId w:val="11"/>
  </w:num>
  <w:num w:numId="27">
    <w:abstractNumId w:val="26"/>
  </w:num>
  <w:num w:numId="28">
    <w:abstractNumId w:val="25"/>
  </w:num>
  <w:num w:numId="29">
    <w:abstractNumId w:val="19"/>
  </w:num>
  <w:num w:numId="30">
    <w:abstractNumId w:val="30"/>
  </w:num>
  <w:num w:numId="31">
    <w:abstractNumId w:val="24"/>
  </w:num>
  <w:num w:numId="32">
    <w:abstractNumId w:val="1"/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20"/>
  </w:num>
  <w:num w:numId="36">
    <w:abstractNumId w:val="8"/>
  </w:num>
  <w:num w:numId="37">
    <w:abstractNumId w:val="28"/>
  </w:num>
  <w:num w:numId="38">
    <w:abstractNumId w:val="9"/>
  </w:num>
  <w:num w:numId="39">
    <w:abstractNumId w:val="13"/>
  </w:num>
  <w:num w:numId="40">
    <w:abstractNumId w:val="35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formatting="0"/>
  <w:documentProtection w:edit="comments" w:enforcement="1" w:cryptProviderType="rsaAES" w:cryptAlgorithmClass="hash" w:cryptAlgorithmType="typeAny" w:cryptAlgorithmSid="14" w:cryptSpinCount="100000" w:hash="7bRm+CGqNyK4yMgWPeh8m3J3P8SLJBybZLYZWxt81Tp6pvzDkWgh3BzknvKCjXd8Yvf2REb5N0ngzkfBtfm7Cw==" w:salt="zMIcL+ohJEnElwXyHzLJOg=="/>
  <w:defaultTabStop w:val="720"/>
  <w:hyphenationZone w:val="425"/>
  <w:characterSpacingControl w:val="doNotCompress"/>
  <w:hdrShapeDefaults>
    <o:shapedefaults v:ext="edit" spidmax="35842"/>
    <o:shapelayout v:ext="edit">
      <o:idmap v:ext="edit" data="35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7C1"/>
    <w:rsid w:val="00001A22"/>
    <w:rsid w:val="000069AE"/>
    <w:rsid w:val="00006F13"/>
    <w:rsid w:val="000133FF"/>
    <w:rsid w:val="00016085"/>
    <w:rsid w:val="00020437"/>
    <w:rsid w:val="00020A0E"/>
    <w:rsid w:val="00020E76"/>
    <w:rsid w:val="0002107A"/>
    <w:rsid w:val="00021133"/>
    <w:rsid w:val="00022604"/>
    <w:rsid w:val="00025B02"/>
    <w:rsid w:val="000267B7"/>
    <w:rsid w:val="00032B9D"/>
    <w:rsid w:val="000337EB"/>
    <w:rsid w:val="000369C0"/>
    <w:rsid w:val="000379DC"/>
    <w:rsid w:val="00040E3C"/>
    <w:rsid w:val="00044FCF"/>
    <w:rsid w:val="00045894"/>
    <w:rsid w:val="00051DB5"/>
    <w:rsid w:val="0005279C"/>
    <w:rsid w:val="00056EFC"/>
    <w:rsid w:val="000572A1"/>
    <w:rsid w:val="000576FF"/>
    <w:rsid w:val="00060AD3"/>
    <w:rsid w:val="000610A2"/>
    <w:rsid w:val="00061BFF"/>
    <w:rsid w:val="0006350C"/>
    <w:rsid w:val="00064758"/>
    <w:rsid w:val="00065091"/>
    <w:rsid w:val="00065B0E"/>
    <w:rsid w:val="00066C16"/>
    <w:rsid w:val="000701D7"/>
    <w:rsid w:val="0007093B"/>
    <w:rsid w:val="000720D0"/>
    <w:rsid w:val="00072AE5"/>
    <w:rsid w:val="000763AA"/>
    <w:rsid w:val="00077613"/>
    <w:rsid w:val="00085105"/>
    <w:rsid w:val="000868D3"/>
    <w:rsid w:val="000932C8"/>
    <w:rsid w:val="000A03E5"/>
    <w:rsid w:val="000A7034"/>
    <w:rsid w:val="000B1376"/>
    <w:rsid w:val="000B6AD5"/>
    <w:rsid w:val="000B7B75"/>
    <w:rsid w:val="000C00D3"/>
    <w:rsid w:val="000C0EDF"/>
    <w:rsid w:val="000C1503"/>
    <w:rsid w:val="000C5BCA"/>
    <w:rsid w:val="000D2079"/>
    <w:rsid w:val="000D25EA"/>
    <w:rsid w:val="000D2A80"/>
    <w:rsid w:val="000D2DA6"/>
    <w:rsid w:val="000D5AD2"/>
    <w:rsid w:val="000D5BD7"/>
    <w:rsid w:val="000E3A86"/>
    <w:rsid w:val="000E5531"/>
    <w:rsid w:val="000E5B17"/>
    <w:rsid w:val="000E669B"/>
    <w:rsid w:val="000F56A2"/>
    <w:rsid w:val="000F7002"/>
    <w:rsid w:val="000F7E29"/>
    <w:rsid w:val="000F7EC6"/>
    <w:rsid w:val="00102F21"/>
    <w:rsid w:val="00105147"/>
    <w:rsid w:val="00106B03"/>
    <w:rsid w:val="00106F8F"/>
    <w:rsid w:val="001138E9"/>
    <w:rsid w:val="00117482"/>
    <w:rsid w:val="0012124D"/>
    <w:rsid w:val="001265F5"/>
    <w:rsid w:val="00126E5E"/>
    <w:rsid w:val="00130A36"/>
    <w:rsid w:val="00141069"/>
    <w:rsid w:val="001415B2"/>
    <w:rsid w:val="0014476A"/>
    <w:rsid w:val="001470C9"/>
    <w:rsid w:val="001472BD"/>
    <w:rsid w:val="00147CDE"/>
    <w:rsid w:val="00151874"/>
    <w:rsid w:val="001527F1"/>
    <w:rsid w:val="001531B3"/>
    <w:rsid w:val="00155969"/>
    <w:rsid w:val="00157AE3"/>
    <w:rsid w:val="001673C1"/>
    <w:rsid w:val="001674EE"/>
    <w:rsid w:val="00175E2B"/>
    <w:rsid w:val="001831D8"/>
    <w:rsid w:val="001838CB"/>
    <w:rsid w:val="00183DCD"/>
    <w:rsid w:val="00190F85"/>
    <w:rsid w:val="00193EE5"/>
    <w:rsid w:val="00195C01"/>
    <w:rsid w:val="001961EF"/>
    <w:rsid w:val="00197A08"/>
    <w:rsid w:val="001A17D9"/>
    <w:rsid w:val="001A1B5B"/>
    <w:rsid w:val="001A2F7B"/>
    <w:rsid w:val="001A3F43"/>
    <w:rsid w:val="001A4218"/>
    <w:rsid w:val="001A59E6"/>
    <w:rsid w:val="001B0007"/>
    <w:rsid w:val="001B0096"/>
    <w:rsid w:val="001B1C58"/>
    <w:rsid w:val="001B3F09"/>
    <w:rsid w:val="001B4E1E"/>
    <w:rsid w:val="001B4EA4"/>
    <w:rsid w:val="001B4EA8"/>
    <w:rsid w:val="001B5B93"/>
    <w:rsid w:val="001B5DEF"/>
    <w:rsid w:val="001B5FAE"/>
    <w:rsid w:val="001B7EF5"/>
    <w:rsid w:val="001C4EB7"/>
    <w:rsid w:val="001C605A"/>
    <w:rsid w:val="001D0A9B"/>
    <w:rsid w:val="001D3F42"/>
    <w:rsid w:val="001D5607"/>
    <w:rsid w:val="001D5ECC"/>
    <w:rsid w:val="001D6A0D"/>
    <w:rsid w:val="001D781A"/>
    <w:rsid w:val="001E35EB"/>
    <w:rsid w:val="001E5A4F"/>
    <w:rsid w:val="001E6613"/>
    <w:rsid w:val="001E7CC5"/>
    <w:rsid w:val="001F3A76"/>
    <w:rsid w:val="001F4434"/>
    <w:rsid w:val="001F55B9"/>
    <w:rsid w:val="001F5C3A"/>
    <w:rsid w:val="001F7C56"/>
    <w:rsid w:val="001F7F5D"/>
    <w:rsid w:val="00203A50"/>
    <w:rsid w:val="002065DA"/>
    <w:rsid w:val="002102DC"/>
    <w:rsid w:val="00211496"/>
    <w:rsid w:val="002141B5"/>
    <w:rsid w:val="00215482"/>
    <w:rsid w:val="00221325"/>
    <w:rsid w:val="002308B8"/>
    <w:rsid w:val="0023162B"/>
    <w:rsid w:val="0023171A"/>
    <w:rsid w:val="00232813"/>
    <w:rsid w:val="00233185"/>
    <w:rsid w:val="00234B20"/>
    <w:rsid w:val="00235756"/>
    <w:rsid w:val="00236437"/>
    <w:rsid w:val="00241FF7"/>
    <w:rsid w:val="0024368B"/>
    <w:rsid w:val="002520ED"/>
    <w:rsid w:val="00252B73"/>
    <w:rsid w:val="00252FCA"/>
    <w:rsid w:val="00253965"/>
    <w:rsid w:val="00256A27"/>
    <w:rsid w:val="00260857"/>
    <w:rsid w:val="002644F7"/>
    <w:rsid w:val="0026527F"/>
    <w:rsid w:val="00266DFF"/>
    <w:rsid w:val="00267D16"/>
    <w:rsid w:val="00271C9D"/>
    <w:rsid w:val="002720CA"/>
    <w:rsid w:val="00275ED3"/>
    <w:rsid w:val="0027677A"/>
    <w:rsid w:val="00280864"/>
    <w:rsid w:val="00280C15"/>
    <w:rsid w:val="00281AC7"/>
    <w:rsid w:val="00285D7B"/>
    <w:rsid w:val="00286E91"/>
    <w:rsid w:val="002905C9"/>
    <w:rsid w:val="0029484B"/>
    <w:rsid w:val="002A44B2"/>
    <w:rsid w:val="002A572E"/>
    <w:rsid w:val="002B4A7D"/>
    <w:rsid w:val="002B5E07"/>
    <w:rsid w:val="002C058D"/>
    <w:rsid w:val="002C4E5D"/>
    <w:rsid w:val="002C70CD"/>
    <w:rsid w:val="002C77CA"/>
    <w:rsid w:val="002D3153"/>
    <w:rsid w:val="002D4DFB"/>
    <w:rsid w:val="002D58A8"/>
    <w:rsid w:val="002D5E7A"/>
    <w:rsid w:val="002E03AA"/>
    <w:rsid w:val="002E093A"/>
    <w:rsid w:val="002E50EC"/>
    <w:rsid w:val="002E593C"/>
    <w:rsid w:val="002E5CA4"/>
    <w:rsid w:val="002F38B3"/>
    <w:rsid w:val="002F75EB"/>
    <w:rsid w:val="00303C5F"/>
    <w:rsid w:val="0030511C"/>
    <w:rsid w:val="00307DD5"/>
    <w:rsid w:val="003110E5"/>
    <w:rsid w:val="00314434"/>
    <w:rsid w:val="003168EB"/>
    <w:rsid w:val="0032073C"/>
    <w:rsid w:val="0032339C"/>
    <w:rsid w:val="003245B2"/>
    <w:rsid w:val="003248CE"/>
    <w:rsid w:val="00324C46"/>
    <w:rsid w:val="003278B5"/>
    <w:rsid w:val="00330508"/>
    <w:rsid w:val="00336BEE"/>
    <w:rsid w:val="00340786"/>
    <w:rsid w:val="00354C21"/>
    <w:rsid w:val="00354DEC"/>
    <w:rsid w:val="003639BB"/>
    <w:rsid w:val="003660C8"/>
    <w:rsid w:val="00366EA7"/>
    <w:rsid w:val="0036743B"/>
    <w:rsid w:val="00367793"/>
    <w:rsid w:val="00371AE9"/>
    <w:rsid w:val="00373A88"/>
    <w:rsid w:val="00376A42"/>
    <w:rsid w:val="003773E3"/>
    <w:rsid w:val="00381FDD"/>
    <w:rsid w:val="00382478"/>
    <w:rsid w:val="0038286C"/>
    <w:rsid w:val="00385BE0"/>
    <w:rsid w:val="00385EE3"/>
    <w:rsid w:val="00385FFB"/>
    <w:rsid w:val="0039142F"/>
    <w:rsid w:val="00391785"/>
    <w:rsid w:val="00392DB5"/>
    <w:rsid w:val="00396387"/>
    <w:rsid w:val="00396A0D"/>
    <w:rsid w:val="003A03D3"/>
    <w:rsid w:val="003A0950"/>
    <w:rsid w:val="003A43DA"/>
    <w:rsid w:val="003B0E45"/>
    <w:rsid w:val="003B311B"/>
    <w:rsid w:val="003B36EB"/>
    <w:rsid w:val="003B3FF2"/>
    <w:rsid w:val="003B46F9"/>
    <w:rsid w:val="003C1F7B"/>
    <w:rsid w:val="003C2B1D"/>
    <w:rsid w:val="003C2B7F"/>
    <w:rsid w:val="003C30AF"/>
    <w:rsid w:val="003C5BE5"/>
    <w:rsid w:val="003D0D56"/>
    <w:rsid w:val="003D19EA"/>
    <w:rsid w:val="003D4DB3"/>
    <w:rsid w:val="003D56F7"/>
    <w:rsid w:val="003D7379"/>
    <w:rsid w:val="003D7988"/>
    <w:rsid w:val="003E13B8"/>
    <w:rsid w:val="003E3E44"/>
    <w:rsid w:val="003F1563"/>
    <w:rsid w:val="003F164C"/>
    <w:rsid w:val="003F1FBC"/>
    <w:rsid w:val="003F4ADA"/>
    <w:rsid w:val="003F65FF"/>
    <w:rsid w:val="00405A84"/>
    <w:rsid w:val="00405C42"/>
    <w:rsid w:val="00407DA2"/>
    <w:rsid w:val="00415A35"/>
    <w:rsid w:val="00415B9C"/>
    <w:rsid w:val="00415F6F"/>
    <w:rsid w:val="004176F6"/>
    <w:rsid w:val="00424258"/>
    <w:rsid w:val="00431CC4"/>
    <w:rsid w:val="004333B8"/>
    <w:rsid w:val="00435A5A"/>
    <w:rsid w:val="00447770"/>
    <w:rsid w:val="0045395E"/>
    <w:rsid w:val="00454380"/>
    <w:rsid w:val="00455FE4"/>
    <w:rsid w:val="00460DA4"/>
    <w:rsid w:val="004620A6"/>
    <w:rsid w:val="0046499B"/>
    <w:rsid w:val="004652C8"/>
    <w:rsid w:val="00466266"/>
    <w:rsid w:val="0046740E"/>
    <w:rsid w:val="00467C80"/>
    <w:rsid w:val="0047035D"/>
    <w:rsid w:val="004759C4"/>
    <w:rsid w:val="0047734F"/>
    <w:rsid w:val="00482EF4"/>
    <w:rsid w:val="004834D5"/>
    <w:rsid w:val="00485DEE"/>
    <w:rsid w:val="00490110"/>
    <w:rsid w:val="00491DB1"/>
    <w:rsid w:val="00492EE9"/>
    <w:rsid w:val="0049772A"/>
    <w:rsid w:val="004A4458"/>
    <w:rsid w:val="004A6186"/>
    <w:rsid w:val="004A7830"/>
    <w:rsid w:val="004B0B0E"/>
    <w:rsid w:val="004B2834"/>
    <w:rsid w:val="004B5F86"/>
    <w:rsid w:val="004B7A31"/>
    <w:rsid w:val="004B7A37"/>
    <w:rsid w:val="004C0F62"/>
    <w:rsid w:val="004C23EC"/>
    <w:rsid w:val="004C2781"/>
    <w:rsid w:val="004D0920"/>
    <w:rsid w:val="004D1B39"/>
    <w:rsid w:val="004D66CD"/>
    <w:rsid w:val="004E04FE"/>
    <w:rsid w:val="004E3B3D"/>
    <w:rsid w:val="004E3B69"/>
    <w:rsid w:val="004E4A42"/>
    <w:rsid w:val="004E5ACD"/>
    <w:rsid w:val="004E6390"/>
    <w:rsid w:val="004E76F3"/>
    <w:rsid w:val="004F0A13"/>
    <w:rsid w:val="004F43EE"/>
    <w:rsid w:val="004F6C37"/>
    <w:rsid w:val="00503F2A"/>
    <w:rsid w:val="00504B94"/>
    <w:rsid w:val="00507811"/>
    <w:rsid w:val="00510BA6"/>
    <w:rsid w:val="00510BD5"/>
    <w:rsid w:val="0051430E"/>
    <w:rsid w:val="0051611C"/>
    <w:rsid w:val="00516C8A"/>
    <w:rsid w:val="0052592B"/>
    <w:rsid w:val="005306CA"/>
    <w:rsid w:val="0053676C"/>
    <w:rsid w:val="0053748B"/>
    <w:rsid w:val="005379F7"/>
    <w:rsid w:val="0054138D"/>
    <w:rsid w:val="00544321"/>
    <w:rsid w:val="0055274C"/>
    <w:rsid w:val="00553297"/>
    <w:rsid w:val="005702BA"/>
    <w:rsid w:val="0057193D"/>
    <w:rsid w:val="00571CC3"/>
    <w:rsid w:val="00571EFE"/>
    <w:rsid w:val="00576246"/>
    <w:rsid w:val="005819A9"/>
    <w:rsid w:val="00582668"/>
    <w:rsid w:val="00582CB6"/>
    <w:rsid w:val="005945E5"/>
    <w:rsid w:val="005A1C96"/>
    <w:rsid w:val="005A56DC"/>
    <w:rsid w:val="005A6FB8"/>
    <w:rsid w:val="005B592A"/>
    <w:rsid w:val="005B7573"/>
    <w:rsid w:val="005B76E7"/>
    <w:rsid w:val="005C1BCE"/>
    <w:rsid w:val="005C4333"/>
    <w:rsid w:val="005C5B04"/>
    <w:rsid w:val="005D1C50"/>
    <w:rsid w:val="005D396D"/>
    <w:rsid w:val="005D4775"/>
    <w:rsid w:val="005E07D8"/>
    <w:rsid w:val="005E1655"/>
    <w:rsid w:val="005E599B"/>
    <w:rsid w:val="005E5AEA"/>
    <w:rsid w:val="005F04A5"/>
    <w:rsid w:val="005F1C52"/>
    <w:rsid w:val="005F2DBE"/>
    <w:rsid w:val="005F59FC"/>
    <w:rsid w:val="005F67A6"/>
    <w:rsid w:val="005F764F"/>
    <w:rsid w:val="00602D20"/>
    <w:rsid w:val="00602F8E"/>
    <w:rsid w:val="00606168"/>
    <w:rsid w:val="00614556"/>
    <w:rsid w:val="00620C1E"/>
    <w:rsid w:val="006215E1"/>
    <w:rsid w:val="00626F08"/>
    <w:rsid w:val="00627403"/>
    <w:rsid w:val="006318EE"/>
    <w:rsid w:val="00641B16"/>
    <w:rsid w:val="00641D5D"/>
    <w:rsid w:val="00643B62"/>
    <w:rsid w:val="00647F3B"/>
    <w:rsid w:val="00653542"/>
    <w:rsid w:val="0065415F"/>
    <w:rsid w:val="00655CC8"/>
    <w:rsid w:val="00657A52"/>
    <w:rsid w:val="00667401"/>
    <w:rsid w:val="006676E3"/>
    <w:rsid w:val="006734FE"/>
    <w:rsid w:val="00676C60"/>
    <w:rsid w:val="006821CB"/>
    <w:rsid w:val="00685DD5"/>
    <w:rsid w:val="00691759"/>
    <w:rsid w:val="00692422"/>
    <w:rsid w:val="00694EE4"/>
    <w:rsid w:val="006957C6"/>
    <w:rsid w:val="0069690C"/>
    <w:rsid w:val="00697DC9"/>
    <w:rsid w:val="006A0AF6"/>
    <w:rsid w:val="006A2B49"/>
    <w:rsid w:val="006A2CFA"/>
    <w:rsid w:val="006B087C"/>
    <w:rsid w:val="006B3C02"/>
    <w:rsid w:val="006B49B5"/>
    <w:rsid w:val="006C0E9D"/>
    <w:rsid w:val="006C20A6"/>
    <w:rsid w:val="006C3B4C"/>
    <w:rsid w:val="006C4121"/>
    <w:rsid w:val="006C74FF"/>
    <w:rsid w:val="006C7EA1"/>
    <w:rsid w:val="006D0722"/>
    <w:rsid w:val="006D0D4C"/>
    <w:rsid w:val="006D1699"/>
    <w:rsid w:val="006D354D"/>
    <w:rsid w:val="006D5541"/>
    <w:rsid w:val="006E4A28"/>
    <w:rsid w:val="006E5AF1"/>
    <w:rsid w:val="006E738E"/>
    <w:rsid w:val="006E749A"/>
    <w:rsid w:val="006F535C"/>
    <w:rsid w:val="006F538F"/>
    <w:rsid w:val="006F7142"/>
    <w:rsid w:val="00702108"/>
    <w:rsid w:val="00703B30"/>
    <w:rsid w:val="007064D1"/>
    <w:rsid w:val="00707EF8"/>
    <w:rsid w:val="00707F67"/>
    <w:rsid w:val="007122F4"/>
    <w:rsid w:val="007135F8"/>
    <w:rsid w:val="00713BDE"/>
    <w:rsid w:val="0071493A"/>
    <w:rsid w:val="0071624E"/>
    <w:rsid w:val="00716460"/>
    <w:rsid w:val="00721A6B"/>
    <w:rsid w:val="007247CF"/>
    <w:rsid w:val="00726430"/>
    <w:rsid w:val="00726654"/>
    <w:rsid w:val="00727495"/>
    <w:rsid w:val="0073277B"/>
    <w:rsid w:val="0073466B"/>
    <w:rsid w:val="007349F9"/>
    <w:rsid w:val="00736500"/>
    <w:rsid w:val="00736708"/>
    <w:rsid w:val="0075481C"/>
    <w:rsid w:val="00760E2D"/>
    <w:rsid w:val="00762932"/>
    <w:rsid w:val="00766539"/>
    <w:rsid w:val="00771D77"/>
    <w:rsid w:val="0077443B"/>
    <w:rsid w:val="007749F4"/>
    <w:rsid w:val="00781C71"/>
    <w:rsid w:val="00782E76"/>
    <w:rsid w:val="00786CFD"/>
    <w:rsid w:val="007946B6"/>
    <w:rsid w:val="00795C49"/>
    <w:rsid w:val="007A02C8"/>
    <w:rsid w:val="007A053A"/>
    <w:rsid w:val="007A2E9D"/>
    <w:rsid w:val="007A301C"/>
    <w:rsid w:val="007A36D4"/>
    <w:rsid w:val="007A3F63"/>
    <w:rsid w:val="007A4CD4"/>
    <w:rsid w:val="007A54D2"/>
    <w:rsid w:val="007B02EC"/>
    <w:rsid w:val="007B209E"/>
    <w:rsid w:val="007B4C67"/>
    <w:rsid w:val="007B53DE"/>
    <w:rsid w:val="007C2EEE"/>
    <w:rsid w:val="007D295B"/>
    <w:rsid w:val="007D58F1"/>
    <w:rsid w:val="007D77DB"/>
    <w:rsid w:val="007E4717"/>
    <w:rsid w:val="007E4D6D"/>
    <w:rsid w:val="007E54EE"/>
    <w:rsid w:val="007F0469"/>
    <w:rsid w:val="007F05FC"/>
    <w:rsid w:val="007F33E5"/>
    <w:rsid w:val="007F4D66"/>
    <w:rsid w:val="007F4E38"/>
    <w:rsid w:val="007F5A9F"/>
    <w:rsid w:val="00802891"/>
    <w:rsid w:val="00804384"/>
    <w:rsid w:val="00804DD2"/>
    <w:rsid w:val="008118A0"/>
    <w:rsid w:val="00813D24"/>
    <w:rsid w:val="00815A78"/>
    <w:rsid w:val="00822B6A"/>
    <w:rsid w:val="00825BC9"/>
    <w:rsid w:val="0083462F"/>
    <w:rsid w:val="0083671A"/>
    <w:rsid w:val="0084526C"/>
    <w:rsid w:val="00845C3A"/>
    <w:rsid w:val="00847692"/>
    <w:rsid w:val="00862CA9"/>
    <w:rsid w:val="00863FE9"/>
    <w:rsid w:val="00865998"/>
    <w:rsid w:val="00866CE2"/>
    <w:rsid w:val="00870DD7"/>
    <w:rsid w:val="00881FF5"/>
    <w:rsid w:val="00883F88"/>
    <w:rsid w:val="0089133D"/>
    <w:rsid w:val="008913FB"/>
    <w:rsid w:val="00892BFF"/>
    <w:rsid w:val="00896442"/>
    <w:rsid w:val="00896465"/>
    <w:rsid w:val="008968B7"/>
    <w:rsid w:val="008971A3"/>
    <w:rsid w:val="008A00B5"/>
    <w:rsid w:val="008A6F35"/>
    <w:rsid w:val="008A7694"/>
    <w:rsid w:val="008B0EF7"/>
    <w:rsid w:val="008B21AC"/>
    <w:rsid w:val="008B53B6"/>
    <w:rsid w:val="008C5DCF"/>
    <w:rsid w:val="008C6214"/>
    <w:rsid w:val="008C7199"/>
    <w:rsid w:val="008C7254"/>
    <w:rsid w:val="008D520F"/>
    <w:rsid w:val="008D5E6B"/>
    <w:rsid w:val="008D6E1E"/>
    <w:rsid w:val="008D7EE9"/>
    <w:rsid w:val="008E109C"/>
    <w:rsid w:val="008E3966"/>
    <w:rsid w:val="008E4110"/>
    <w:rsid w:val="008E54B9"/>
    <w:rsid w:val="008E7793"/>
    <w:rsid w:val="008F156F"/>
    <w:rsid w:val="008F2A18"/>
    <w:rsid w:val="008F2CBB"/>
    <w:rsid w:val="008F4F11"/>
    <w:rsid w:val="008F7C00"/>
    <w:rsid w:val="009007D6"/>
    <w:rsid w:val="0091372C"/>
    <w:rsid w:val="00921D2F"/>
    <w:rsid w:val="00922BB5"/>
    <w:rsid w:val="00925472"/>
    <w:rsid w:val="00926494"/>
    <w:rsid w:val="009329FE"/>
    <w:rsid w:val="009331EB"/>
    <w:rsid w:val="00933B7A"/>
    <w:rsid w:val="009358B8"/>
    <w:rsid w:val="00937843"/>
    <w:rsid w:val="00940D72"/>
    <w:rsid w:val="00941482"/>
    <w:rsid w:val="009416D3"/>
    <w:rsid w:val="009419AC"/>
    <w:rsid w:val="009422EB"/>
    <w:rsid w:val="00942711"/>
    <w:rsid w:val="00945A79"/>
    <w:rsid w:val="00947226"/>
    <w:rsid w:val="00960553"/>
    <w:rsid w:val="009618B4"/>
    <w:rsid w:val="0096357F"/>
    <w:rsid w:val="0097230B"/>
    <w:rsid w:val="00974DB6"/>
    <w:rsid w:val="0097758F"/>
    <w:rsid w:val="00980D5C"/>
    <w:rsid w:val="00983795"/>
    <w:rsid w:val="00987509"/>
    <w:rsid w:val="00995CF3"/>
    <w:rsid w:val="00995F2B"/>
    <w:rsid w:val="00995F63"/>
    <w:rsid w:val="009A1578"/>
    <w:rsid w:val="009A1667"/>
    <w:rsid w:val="009A47CB"/>
    <w:rsid w:val="009A56D0"/>
    <w:rsid w:val="009A75ED"/>
    <w:rsid w:val="009A78FC"/>
    <w:rsid w:val="009B0484"/>
    <w:rsid w:val="009B5936"/>
    <w:rsid w:val="009C4B24"/>
    <w:rsid w:val="009C6534"/>
    <w:rsid w:val="009C7534"/>
    <w:rsid w:val="009C7A72"/>
    <w:rsid w:val="009D0C3E"/>
    <w:rsid w:val="009D271C"/>
    <w:rsid w:val="009D3DE1"/>
    <w:rsid w:val="009D48F0"/>
    <w:rsid w:val="009E046F"/>
    <w:rsid w:val="009E0ED3"/>
    <w:rsid w:val="009E1133"/>
    <w:rsid w:val="009E398D"/>
    <w:rsid w:val="009E485D"/>
    <w:rsid w:val="009E64DB"/>
    <w:rsid w:val="009E7CFB"/>
    <w:rsid w:val="009E7E3E"/>
    <w:rsid w:val="009F26F4"/>
    <w:rsid w:val="009F7483"/>
    <w:rsid w:val="00A0139D"/>
    <w:rsid w:val="00A0212C"/>
    <w:rsid w:val="00A0293C"/>
    <w:rsid w:val="00A031ED"/>
    <w:rsid w:val="00A03B99"/>
    <w:rsid w:val="00A05A07"/>
    <w:rsid w:val="00A07A3A"/>
    <w:rsid w:val="00A10818"/>
    <w:rsid w:val="00A13B48"/>
    <w:rsid w:val="00A23B07"/>
    <w:rsid w:val="00A260E5"/>
    <w:rsid w:val="00A2615A"/>
    <w:rsid w:val="00A325FB"/>
    <w:rsid w:val="00A3604F"/>
    <w:rsid w:val="00A36B9E"/>
    <w:rsid w:val="00A40902"/>
    <w:rsid w:val="00A41F7B"/>
    <w:rsid w:val="00A438FB"/>
    <w:rsid w:val="00A458D4"/>
    <w:rsid w:val="00A51678"/>
    <w:rsid w:val="00A54B83"/>
    <w:rsid w:val="00A61C16"/>
    <w:rsid w:val="00A632D6"/>
    <w:rsid w:val="00A675AF"/>
    <w:rsid w:val="00A72C15"/>
    <w:rsid w:val="00A734E6"/>
    <w:rsid w:val="00A74954"/>
    <w:rsid w:val="00A75DDB"/>
    <w:rsid w:val="00A81D29"/>
    <w:rsid w:val="00A8405F"/>
    <w:rsid w:val="00A85D6D"/>
    <w:rsid w:val="00A87180"/>
    <w:rsid w:val="00A90707"/>
    <w:rsid w:val="00A91952"/>
    <w:rsid w:val="00A953FE"/>
    <w:rsid w:val="00A95414"/>
    <w:rsid w:val="00A95751"/>
    <w:rsid w:val="00A96C38"/>
    <w:rsid w:val="00AA1150"/>
    <w:rsid w:val="00AA2E58"/>
    <w:rsid w:val="00AA33DF"/>
    <w:rsid w:val="00AA4132"/>
    <w:rsid w:val="00AA6B12"/>
    <w:rsid w:val="00AA7BB5"/>
    <w:rsid w:val="00AB29ED"/>
    <w:rsid w:val="00AB523A"/>
    <w:rsid w:val="00AC4A12"/>
    <w:rsid w:val="00AC4F47"/>
    <w:rsid w:val="00AC5743"/>
    <w:rsid w:val="00AC6FC5"/>
    <w:rsid w:val="00AD072E"/>
    <w:rsid w:val="00AD15D0"/>
    <w:rsid w:val="00AD2E38"/>
    <w:rsid w:val="00AD53C2"/>
    <w:rsid w:val="00AD759F"/>
    <w:rsid w:val="00AD7773"/>
    <w:rsid w:val="00AE0609"/>
    <w:rsid w:val="00AE5383"/>
    <w:rsid w:val="00AE54B1"/>
    <w:rsid w:val="00AE7A10"/>
    <w:rsid w:val="00AF0722"/>
    <w:rsid w:val="00AF23DD"/>
    <w:rsid w:val="00B010D5"/>
    <w:rsid w:val="00B05F2A"/>
    <w:rsid w:val="00B06C60"/>
    <w:rsid w:val="00B1097F"/>
    <w:rsid w:val="00B14ADF"/>
    <w:rsid w:val="00B14F7B"/>
    <w:rsid w:val="00B158B1"/>
    <w:rsid w:val="00B21258"/>
    <w:rsid w:val="00B23D06"/>
    <w:rsid w:val="00B25061"/>
    <w:rsid w:val="00B25A84"/>
    <w:rsid w:val="00B25CF3"/>
    <w:rsid w:val="00B360F5"/>
    <w:rsid w:val="00B4318E"/>
    <w:rsid w:val="00B50443"/>
    <w:rsid w:val="00B50AB3"/>
    <w:rsid w:val="00B51DB3"/>
    <w:rsid w:val="00B52011"/>
    <w:rsid w:val="00B52EF6"/>
    <w:rsid w:val="00B54846"/>
    <w:rsid w:val="00B554AA"/>
    <w:rsid w:val="00B5601B"/>
    <w:rsid w:val="00B562A5"/>
    <w:rsid w:val="00B630A7"/>
    <w:rsid w:val="00B63344"/>
    <w:rsid w:val="00B75150"/>
    <w:rsid w:val="00B77231"/>
    <w:rsid w:val="00B839C3"/>
    <w:rsid w:val="00B94348"/>
    <w:rsid w:val="00BA0D9A"/>
    <w:rsid w:val="00BA138E"/>
    <w:rsid w:val="00BA188A"/>
    <w:rsid w:val="00BA753C"/>
    <w:rsid w:val="00BB3E1E"/>
    <w:rsid w:val="00BB6B3A"/>
    <w:rsid w:val="00BC1B1D"/>
    <w:rsid w:val="00BD0269"/>
    <w:rsid w:val="00BD2C22"/>
    <w:rsid w:val="00BD4F88"/>
    <w:rsid w:val="00BD625D"/>
    <w:rsid w:val="00BD676F"/>
    <w:rsid w:val="00BD6F7A"/>
    <w:rsid w:val="00BD7DA0"/>
    <w:rsid w:val="00BE050B"/>
    <w:rsid w:val="00BE117B"/>
    <w:rsid w:val="00BE67D1"/>
    <w:rsid w:val="00BE71F1"/>
    <w:rsid w:val="00BF0ACC"/>
    <w:rsid w:val="00BF2F19"/>
    <w:rsid w:val="00BF44B0"/>
    <w:rsid w:val="00BF5BD0"/>
    <w:rsid w:val="00BF6E53"/>
    <w:rsid w:val="00C00038"/>
    <w:rsid w:val="00C019E6"/>
    <w:rsid w:val="00C04ABE"/>
    <w:rsid w:val="00C07DDB"/>
    <w:rsid w:val="00C119DA"/>
    <w:rsid w:val="00C124AF"/>
    <w:rsid w:val="00C137D5"/>
    <w:rsid w:val="00C1447C"/>
    <w:rsid w:val="00C16367"/>
    <w:rsid w:val="00C16E7F"/>
    <w:rsid w:val="00C17377"/>
    <w:rsid w:val="00C2471D"/>
    <w:rsid w:val="00C260D0"/>
    <w:rsid w:val="00C27061"/>
    <w:rsid w:val="00C3258F"/>
    <w:rsid w:val="00C4222B"/>
    <w:rsid w:val="00C4505C"/>
    <w:rsid w:val="00C47B75"/>
    <w:rsid w:val="00C517D8"/>
    <w:rsid w:val="00C52CD9"/>
    <w:rsid w:val="00C5410C"/>
    <w:rsid w:val="00C54643"/>
    <w:rsid w:val="00C554DF"/>
    <w:rsid w:val="00C555B9"/>
    <w:rsid w:val="00C5697A"/>
    <w:rsid w:val="00C64A29"/>
    <w:rsid w:val="00C65A5B"/>
    <w:rsid w:val="00C7287F"/>
    <w:rsid w:val="00C7319E"/>
    <w:rsid w:val="00C76F3A"/>
    <w:rsid w:val="00C81119"/>
    <w:rsid w:val="00C81A76"/>
    <w:rsid w:val="00C81F08"/>
    <w:rsid w:val="00C8529A"/>
    <w:rsid w:val="00C87031"/>
    <w:rsid w:val="00C90057"/>
    <w:rsid w:val="00C93EC1"/>
    <w:rsid w:val="00CA4440"/>
    <w:rsid w:val="00CA70ED"/>
    <w:rsid w:val="00CB27A5"/>
    <w:rsid w:val="00CB42BE"/>
    <w:rsid w:val="00CB50EF"/>
    <w:rsid w:val="00CB577A"/>
    <w:rsid w:val="00CC1823"/>
    <w:rsid w:val="00CC396C"/>
    <w:rsid w:val="00CC3CA5"/>
    <w:rsid w:val="00CD4E0F"/>
    <w:rsid w:val="00CD5E5D"/>
    <w:rsid w:val="00CD78E5"/>
    <w:rsid w:val="00CE36E9"/>
    <w:rsid w:val="00CE4663"/>
    <w:rsid w:val="00CE56B9"/>
    <w:rsid w:val="00CF00E0"/>
    <w:rsid w:val="00CF4B9C"/>
    <w:rsid w:val="00CF6A29"/>
    <w:rsid w:val="00CF6B74"/>
    <w:rsid w:val="00CF7B08"/>
    <w:rsid w:val="00D00B6E"/>
    <w:rsid w:val="00D033C7"/>
    <w:rsid w:val="00D03537"/>
    <w:rsid w:val="00D04D9E"/>
    <w:rsid w:val="00D10FAC"/>
    <w:rsid w:val="00D13C15"/>
    <w:rsid w:val="00D22A9B"/>
    <w:rsid w:val="00D2425A"/>
    <w:rsid w:val="00D264DB"/>
    <w:rsid w:val="00D32D35"/>
    <w:rsid w:val="00D35D1B"/>
    <w:rsid w:val="00D420BA"/>
    <w:rsid w:val="00D422AA"/>
    <w:rsid w:val="00D428D3"/>
    <w:rsid w:val="00D437BF"/>
    <w:rsid w:val="00D44E65"/>
    <w:rsid w:val="00D45EB4"/>
    <w:rsid w:val="00D468DD"/>
    <w:rsid w:val="00D4793C"/>
    <w:rsid w:val="00D47FD8"/>
    <w:rsid w:val="00D50590"/>
    <w:rsid w:val="00D530C5"/>
    <w:rsid w:val="00D57002"/>
    <w:rsid w:val="00D57906"/>
    <w:rsid w:val="00D60501"/>
    <w:rsid w:val="00D61172"/>
    <w:rsid w:val="00D619AA"/>
    <w:rsid w:val="00D646EE"/>
    <w:rsid w:val="00D655B2"/>
    <w:rsid w:val="00D65AE3"/>
    <w:rsid w:val="00D77058"/>
    <w:rsid w:val="00D848C2"/>
    <w:rsid w:val="00D931C3"/>
    <w:rsid w:val="00D94BBF"/>
    <w:rsid w:val="00D9553A"/>
    <w:rsid w:val="00D971C7"/>
    <w:rsid w:val="00D978E4"/>
    <w:rsid w:val="00DA219B"/>
    <w:rsid w:val="00DA23ED"/>
    <w:rsid w:val="00DA2BF2"/>
    <w:rsid w:val="00DA502F"/>
    <w:rsid w:val="00DA5CD7"/>
    <w:rsid w:val="00DB3C0A"/>
    <w:rsid w:val="00DB4A79"/>
    <w:rsid w:val="00DC1F8E"/>
    <w:rsid w:val="00DC3A7C"/>
    <w:rsid w:val="00DC4059"/>
    <w:rsid w:val="00DC5FD5"/>
    <w:rsid w:val="00DC67CC"/>
    <w:rsid w:val="00DD0663"/>
    <w:rsid w:val="00DD2FBE"/>
    <w:rsid w:val="00DD3481"/>
    <w:rsid w:val="00DD3D69"/>
    <w:rsid w:val="00DD5442"/>
    <w:rsid w:val="00DD631E"/>
    <w:rsid w:val="00DD6617"/>
    <w:rsid w:val="00DE0FD1"/>
    <w:rsid w:val="00DE3493"/>
    <w:rsid w:val="00DE565D"/>
    <w:rsid w:val="00DE6CF4"/>
    <w:rsid w:val="00DF4D2D"/>
    <w:rsid w:val="00E039DA"/>
    <w:rsid w:val="00E11092"/>
    <w:rsid w:val="00E1329E"/>
    <w:rsid w:val="00E2631F"/>
    <w:rsid w:val="00E26E94"/>
    <w:rsid w:val="00E2730E"/>
    <w:rsid w:val="00E329DE"/>
    <w:rsid w:val="00E332C9"/>
    <w:rsid w:val="00E33AC5"/>
    <w:rsid w:val="00E361C9"/>
    <w:rsid w:val="00E36661"/>
    <w:rsid w:val="00E412CC"/>
    <w:rsid w:val="00E4544B"/>
    <w:rsid w:val="00E56C1C"/>
    <w:rsid w:val="00E70B98"/>
    <w:rsid w:val="00E70B9D"/>
    <w:rsid w:val="00E71D5B"/>
    <w:rsid w:val="00E727EE"/>
    <w:rsid w:val="00E729F4"/>
    <w:rsid w:val="00E81E2C"/>
    <w:rsid w:val="00E82EFF"/>
    <w:rsid w:val="00E8333F"/>
    <w:rsid w:val="00E8343C"/>
    <w:rsid w:val="00E83EF6"/>
    <w:rsid w:val="00E84B27"/>
    <w:rsid w:val="00E909CB"/>
    <w:rsid w:val="00E95EF2"/>
    <w:rsid w:val="00EA0F52"/>
    <w:rsid w:val="00EA1043"/>
    <w:rsid w:val="00EA20B2"/>
    <w:rsid w:val="00EA2167"/>
    <w:rsid w:val="00EA2D30"/>
    <w:rsid w:val="00EA4B3E"/>
    <w:rsid w:val="00EA51F9"/>
    <w:rsid w:val="00EA576D"/>
    <w:rsid w:val="00EA5F45"/>
    <w:rsid w:val="00EA647B"/>
    <w:rsid w:val="00EA7A98"/>
    <w:rsid w:val="00EB3302"/>
    <w:rsid w:val="00EB4CDE"/>
    <w:rsid w:val="00EB5A7B"/>
    <w:rsid w:val="00EC70C4"/>
    <w:rsid w:val="00EC7EFB"/>
    <w:rsid w:val="00ED1CE3"/>
    <w:rsid w:val="00ED393A"/>
    <w:rsid w:val="00ED632D"/>
    <w:rsid w:val="00EE27C1"/>
    <w:rsid w:val="00EE3F32"/>
    <w:rsid w:val="00EE72FF"/>
    <w:rsid w:val="00EF1DF1"/>
    <w:rsid w:val="00EF378E"/>
    <w:rsid w:val="00EF4A48"/>
    <w:rsid w:val="00EF5191"/>
    <w:rsid w:val="00EF5B87"/>
    <w:rsid w:val="00EF64C1"/>
    <w:rsid w:val="00F033B4"/>
    <w:rsid w:val="00F05D15"/>
    <w:rsid w:val="00F069E4"/>
    <w:rsid w:val="00F078CD"/>
    <w:rsid w:val="00F07AA5"/>
    <w:rsid w:val="00F13AA4"/>
    <w:rsid w:val="00F1572A"/>
    <w:rsid w:val="00F1577A"/>
    <w:rsid w:val="00F16116"/>
    <w:rsid w:val="00F21502"/>
    <w:rsid w:val="00F24771"/>
    <w:rsid w:val="00F24BAC"/>
    <w:rsid w:val="00F24F4A"/>
    <w:rsid w:val="00F25809"/>
    <w:rsid w:val="00F405BD"/>
    <w:rsid w:val="00F428FB"/>
    <w:rsid w:val="00F44F84"/>
    <w:rsid w:val="00F4656B"/>
    <w:rsid w:val="00F47093"/>
    <w:rsid w:val="00F53CB0"/>
    <w:rsid w:val="00F5525E"/>
    <w:rsid w:val="00F560A0"/>
    <w:rsid w:val="00F562EF"/>
    <w:rsid w:val="00F563BB"/>
    <w:rsid w:val="00F61801"/>
    <w:rsid w:val="00F667CD"/>
    <w:rsid w:val="00F66C0E"/>
    <w:rsid w:val="00F748D4"/>
    <w:rsid w:val="00F75325"/>
    <w:rsid w:val="00F756B6"/>
    <w:rsid w:val="00F84F04"/>
    <w:rsid w:val="00F8676A"/>
    <w:rsid w:val="00F87031"/>
    <w:rsid w:val="00F873C8"/>
    <w:rsid w:val="00F94530"/>
    <w:rsid w:val="00FA2845"/>
    <w:rsid w:val="00FA5481"/>
    <w:rsid w:val="00FB484A"/>
    <w:rsid w:val="00FB4C3D"/>
    <w:rsid w:val="00FB4CB7"/>
    <w:rsid w:val="00FB6317"/>
    <w:rsid w:val="00FC1816"/>
    <w:rsid w:val="00FC2835"/>
    <w:rsid w:val="00FC36FF"/>
    <w:rsid w:val="00FC3EB4"/>
    <w:rsid w:val="00FC76D0"/>
    <w:rsid w:val="00FD2787"/>
    <w:rsid w:val="00FD64B4"/>
    <w:rsid w:val="00FD7DDC"/>
    <w:rsid w:val="00FE3104"/>
    <w:rsid w:val="00FE5177"/>
    <w:rsid w:val="00FE59EB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  <w14:docId w14:val="3BF6387D"/>
  <w15:chartTrackingRefBased/>
  <w15:docId w15:val="{AE9AC1E8-7CE1-4F17-B979-F0B471417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iPriority="0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locked="0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locked="0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locked="0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30E"/>
    <w:rPr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A23B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locked/>
    <w:rsid w:val="00A23B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locked/>
    <w:rsid w:val="00E273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locked/>
    <w:rsid w:val="00A23B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locked/>
    <w:rsid w:val="003110E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locked/>
    <w:rsid w:val="005D396D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A23B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locked/>
    <w:rsid w:val="00A23B07"/>
    <w:pPr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locked/>
    <w:rsid w:val="00A23B07"/>
    <w:pPr>
      <w:spacing w:after="100"/>
    </w:pPr>
  </w:style>
  <w:style w:type="character" w:styleId="Hyperlink">
    <w:name w:val="Hyperlink"/>
    <w:basedOn w:val="Fontepargpadro"/>
    <w:uiPriority w:val="99"/>
    <w:unhideWhenUsed/>
    <w:locked/>
    <w:rsid w:val="00A23B07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A23B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A23B0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A23B0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Sumrio2">
    <w:name w:val="toc 2"/>
    <w:basedOn w:val="Normal"/>
    <w:next w:val="Normal"/>
    <w:autoRedefine/>
    <w:uiPriority w:val="39"/>
    <w:unhideWhenUsed/>
    <w:locked/>
    <w:rsid w:val="00DC5FD5"/>
    <w:pPr>
      <w:spacing w:after="100"/>
      <w:ind w:left="220"/>
    </w:pPr>
  </w:style>
  <w:style w:type="character" w:customStyle="1" w:styleId="Ttulo5Char">
    <w:name w:val="Título 5 Char"/>
    <w:basedOn w:val="Fontepargpadro"/>
    <w:link w:val="Ttulo5"/>
    <w:uiPriority w:val="9"/>
    <w:rsid w:val="003110E5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1-11-111">
    <w:name w:val="1.-1.1.-1.1.1."/>
    <w:basedOn w:val="Normal"/>
    <w:qFormat/>
    <w:locked/>
    <w:rsid w:val="00FD64B4"/>
    <w:pPr>
      <w:spacing w:before="120" w:after="120" w:line="288" w:lineRule="auto"/>
      <w:jc w:val="both"/>
    </w:pPr>
    <w:rPr>
      <w:rFonts w:eastAsia="Times New Roman" w:cs="Times New Roman"/>
      <w:sz w:val="23"/>
      <w:szCs w:val="26"/>
      <w:lang w:val="pt-BR" w:eastAsia="pt-BR"/>
    </w:rPr>
  </w:style>
  <w:style w:type="paragraph" w:styleId="Textodenotaderodap">
    <w:name w:val="footnote text"/>
    <w:basedOn w:val="Normal"/>
    <w:link w:val="TextodenotaderodapChar"/>
    <w:semiHidden/>
    <w:locked/>
    <w:rsid w:val="00FD64B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pt-BR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D64B4"/>
    <w:rPr>
      <w:rFonts w:ascii="Calibri" w:eastAsia="Times New Roman" w:hAnsi="Calibri" w:cs="Times New Roman"/>
      <w:sz w:val="20"/>
      <w:szCs w:val="20"/>
      <w:lang w:val="pt-BR" w:eastAsia="pt-BR"/>
    </w:rPr>
  </w:style>
  <w:style w:type="character" w:styleId="Refdenotaderodap">
    <w:name w:val="footnote reference"/>
    <w:basedOn w:val="Fontepargpadro"/>
    <w:semiHidden/>
    <w:locked/>
    <w:rsid w:val="00FD64B4"/>
    <w:rPr>
      <w:vertAlign w:val="superscript"/>
    </w:rPr>
  </w:style>
  <w:style w:type="numbering" w:styleId="111111">
    <w:name w:val="Outline List 2"/>
    <w:basedOn w:val="Semlista"/>
    <w:locked/>
    <w:rsid w:val="00FD64B4"/>
    <w:pPr>
      <w:numPr>
        <w:numId w:val="19"/>
      </w:numPr>
    </w:pPr>
  </w:style>
  <w:style w:type="character" w:styleId="Refdecomentrio">
    <w:name w:val="annotation reference"/>
    <w:basedOn w:val="Fontepargpadro"/>
    <w:uiPriority w:val="99"/>
    <w:semiHidden/>
    <w:unhideWhenUsed/>
    <w:locked/>
    <w:rsid w:val="00E727E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locked/>
    <w:rsid w:val="00E727E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727E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locked/>
    <w:rsid w:val="00E727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727E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E72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27EE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3233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23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fase">
    <w:name w:val="Emphasis"/>
    <w:basedOn w:val="Fontepargpadro"/>
    <w:uiPriority w:val="20"/>
    <w:qFormat/>
    <w:locked/>
    <w:rsid w:val="00235756"/>
    <w:rPr>
      <w:i/>
      <w:iCs/>
    </w:rPr>
  </w:style>
  <w:style w:type="paragraph" w:customStyle="1" w:styleId="Default">
    <w:name w:val="Default"/>
    <w:locked/>
    <w:rsid w:val="00235756"/>
    <w:pPr>
      <w:autoSpaceDE w:val="0"/>
      <w:autoSpaceDN w:val="0"/>
      <w:adjustRightInd w:val="0"/>
      <w:spacing w:after="0" w:line="240" w:lineRule="auto"/>
    </w:pPr>
    <w:rPr>
      <w:rFonts w:ascii="Code" w:hAnsi="Code" w:cs="Code"/>
      <w:color w:val="000000"/>
      <w:sz w:val="24"/>
      <w:szCs w:val="24"/>
      <w:lang w:val="pt-BR"/>
    </w:rPr>
  </w:style>
  <w:style w:type="character" w:customStyle="1" w:styleId="MenoPendente1">
    <w:name w:val="Menção Pendente1"/>
    <w:basedOn w:val="Fontepargpadro"/>
    <w:uiPriority w:val="99"/>
    <w:semiHidden/>
    <w:unhideWhenUsed/>
    <w:locked/>
    <w:rsid w:val="00235756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locked/>
    <w:rsid w:val="00AC4A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4A12"/>
    <w:rPr>
      <w:sz w:val="24"/>
    </w:rPr>
  </w:style>
  <w:style w:type="paragraph" w:styleId="Rodap">
    <w:name w:val="footer"/>
    <w:basedOn w:val="Normal"/>
    <w:link w:val="RodapChar"/>
    <w:uiPriority w:val="99"/>
    <w:unhideWhenUsed/>
    <w:locked/>
    <w:rsid w:val="00AC4A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4A12"/>
    <w:rPr>
      <w:sz w:val="24"/>
    </w:rPr>
  </w:style>
  <w:style w:type="paragraph" w:styleId="Reviso">
    <w:name w:val="Revision"/>
    <w:hidden/>
    <w:uiPriority w:val="99"/>
    <w:semiHidden/>
    <w:rsid w:val="009416D3"/>
    <w:pPr>
      <w:spacing w:after="0" w:line="240" w:lineRule="auto"/>
    </w:pPr>
    <w:rPr>
      <w:sz w:val="24"/>
    </w:rPr>
  </w:style>
  <w:style w:type="character" w:styleId="Nmerodelinha">
    <w:name w:val="line number"/>
    <w:basedOn w:val="Fontepargpadro"/>
    <w:uiPriority w:val="99"/>
    <w:semiHidden/>
    <w:unhideWhenUsed/>
    <w:locked/>
    <w:rsid w:val="00285D7B"/>
  </w:style>
  <w:style w:type="table" w:styleId="Tabelacomgrade">
    <w:name w:val="Table Grid"/>
    <w:basedOn w:val="Tabelanormal"/>
    <w:uiPriority w:val="39"/>
    <w:locked/>
    <w:rsid w:val="007A0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Lista3">
    <w:name w:val="List Table 3"/>
    <w:basedOn w:val="Tabelanormal"/>
    <w:uiPriority w:val="48"/>
    <w:locked/>
    <w:rsid w:val="007A053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SemEspaamento">
    <w:name w:val="No Spacing"/>
    <w:uiPriority w:val="1"/>
    <w:qFormat/>
    <w:locked/>
    <w:rsid w:val="00DE6CF4"/>
    <w:pPr>
      <w:spacing w:after="0" w:line="240" w:lineRule="auto"/>
    </w:pPr>
    <w:rPr>
      <w:sz w:val="24"/>
    </w:rPr>
  </w:style>
  <w:style w:type="paragraph" w:styleId="Sumrio3">
    <w:name w:val="toc 3"/>
    <w:basedOn w:val="Normal"/>
    <w:next w:val="Normal"/>
    <w:autoRedefine/>
    <w:uiPriority w:val="39"/>
    <w:unhideWhenUsed/>
    <w:locked/>
    <w:rsid w:val="00C81F08"/>
    <w:pPr>
      <w:spacing w:after="100"/>
      <w:ind w:left="480"/>
    </w:pPr>
  </w:style>
  <w:style w:type="character" w:customStyle="1" w:styleId="tl8wme">
    <w:name w:val="tl8wme"/>
    <w:basedOn w:val="Fontepargpadro"/>
    <w:locked/>
    <w:rsid w:val="00F84F04"/>
  </w:style>
  <w:style w:type="paragraph" w:styleId="NormalWeb">
    <w:name w:val="Normal (Web)"/>
    <w:basedOn w:val="Normal"/>
    <w:uiPriority w:val="99"/>
    <w:semiHidden/>
    <w:unhideWhenUsed/>
    <w:locked/>
    <w:rsid w:val="00020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pt-BR"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157AE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57AE3"/>
    <w:rPr>
      <w:sz w:val="24"/>
    </w:rPr>
  </w:style>
  <w:style w:type="character" w:styleId="TextodoEspaoReservado">
    <w:name w:val="Placeholder Text"/>
    <w:basedOn w:val="Fontepargpadro"/>
    <w:uiPriority w:val="99"/>
    <w:semiHidden/>
    <w:locked/>
    <w:rsid w:val="00271C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19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8535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7313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47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0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6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6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3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3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1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244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4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1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9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9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7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2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8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0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7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4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5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0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30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Layout" Target="diagrams/layout1.xml"/><Relationship Id="rId18" Type="http://schemas.openxmlformats.org/officeDocument/2006/relationships/diagramLayout" Target="diagrams/layout2.xml"/><Relationship Id="rId3" Type="http://schemas.openxmlformats.org/officeDocument/2006/relationships/numbering" Target="numbering.xml"/><Relationship Id="rId21" Type="http://schemas.microsoft.com/office/2007/relationships/diagramDrawing" Target="diagrams/drawing2.xml"/><Relationship Id="rId7" Type="http://schemas.openxmlformats.org/officeDocument/2006/relationships/footnotes" Target="footnotes.xml"/><Relationship Id="rId12" Type="http://schemas.openxmlformats.org/officeDocument/2006/relationships/diagramData" Target="diagrams/data1.xml"/><Relationship Id="rId17" Type="http://schemas.openxmlformats.org/officeDocument/2006/relationships/diagramData" Target="diagrams/data2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diagramColors" Target="diagrams/colors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diagramColors" Target="diagrams/colors1.xml"/><Relationship Id="rId23" Type="http://schemas.openxmlformats.org/officeDocument/2006/relationships/glossaryDocument" Target="glossary/document.xml"/><Relationship Id="rId10" Type="http://schemas.openxmlformats.org/officeDocument/2006/relationships/header" Target="header1.xml"/><Relationship Id="rId19" Type="http://schemas.openxmlformats.org/officeDocument/2006/relationships/diagramQuickStyle" Target="diagrams/quickStyle2.xml"/><Relationship Id="rId4" Type="http://schemas.openxmlformats.org/officeDocument/2006/relationships/styles" Target="styles.xml"/><Relationship Id="rId9" Type="http://schemas.openxmlformats.org/officeDocument/2006/relationships/hyperlink" Target="mailto:advocacy@ibgc.org.br" TargetMode="External"/><Relationship Id="rId14" Type="http://schemas.openxmlformats.org/officeDocument/2006/relationships/diagramQuickStyle" Target="diagrams/quickStyle1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3">
  <dgm:title val=""/>
  <dgm:desc val=""/>
  <dgm:catLst>
    <dgm:cat type="accent3" pri="11300"/>
  </dgm:catLst>
  <dgm:styleLbl name="node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shade val="80000"/>
      </a:schemeClr>
      <a:schemeClr val="accent3">
        <a:tint val="7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/>
    <dgm:txEffectClrLst/>
  </dgm:styleLbl>
  <dgm:styleLbl name="ln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9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8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35EBC6E-8EE0-4B79-A841-7D380B8D6CAD}" type="doc">
      <dgm:prSet loTypeId="urn:microsoft.com/office/officeart/2005/8/layout/radial3" loCatId="relationship" qsTypeId="urn:microsoft.com/office/officeart/2005/8/quickstyle/simple2" qsCatId="simple" csTypeId="urn:microsoft.com/office/officeart/2005/8/colors/accent3_3" csCatId="accent3" phldr="1"/>
      <dgm:spPr/>
      <dgm:t>
        <a:bodyPr/>
        <a:lstStyle/>
        <a:p>
          <a:endParaRPr lang="pt-BR"/>
        </a:p>
      </dgm:t>
    </dgm:pt>
    <dgm:pt modelId="{56D19394-6F04-42B7-B907-1D44CD2D61C7}">
      <dgm:prSet phldrT="[Texto]" custT="1"/>
      <dgm:spPr>
        <a:solidFill>
          <a:schemeClr val="accent6">
            <a:lumMod val="60000"/>
            <a:lumOff val="40000"/>
            <a:alpha val="50000"/>
          </a:schemeClr>
        </a:solidFill>
      </dgm:spPr>
      <dgm:t>
        <a:bodyPr/>
        <a:lstStyle/>
        <a:p>
          <a:r>
            <a:rPr lang="pt-BR" sz="1400" b="1"/>
            <a:t>Principais atores e interessados no processo de privatização</a:t>
          </a:r>
        </a:p>
      </dgm:t>
    </dgm:pt>
    <dgm:pt modelId="{418F51D4-6441-44E7-97AB-78497D834651}" type="parTrans" cxnId="{D43D39F2-1351-4A2D-8BE9-71A4D5D67968}">
      <dgm:prSet/>
      <dgm:spPr/>
      <dgm:t>
        <a:bodyPr/>
        <a:lstStyle/>
        <a:p>
          <a:endParaRPr lang="pt-BR" sz="2800"/>
        </a:p>
      </dgm:t>
    </dgm:pt>
    <dgm:pt modelId="{DAEBFBFE-AC98-4ACD-9A0C-1F43754F7989}" type="sibTrans" cxnId="{D43D39F2-1351-4A2D-8BE9-71A4D5D67968}">
      <dgm:prSet/>
      <dgm:spPr/>
      <dgm:t>
        <a:bodyPr/>
        <a:lstStyle/>
        <a:p>
          <a:endParaRPr lang="pt-BR" sz="2800"/>
        </a:p>
      </dgm:t>
    </dgm:pt>
    <dgm:pt modelId="{96A6D2D1-4E20-44C9-A008-1FDFC3961B52}">
      <dgm:prSet phldrT="[Texto]" custT="1"/>
      <dgm:spPr/>
      <dgm:t>
        <a:bodyPr/>
        <a:lstStyle/>
        <a:p>
          <a:r>
            <a:rPr lang="pt-BR" sz="1200"/>
            <a:t>Sociedade civil</a:t>
          </a:r>
        </a:p>
      </dgm:t>
    </dgm:pt>
    <dgm:pt modelId="{26FED45E-DF4A-4DAC-AEE7-EC28F6ECD8D1}" type="parTrans" cxnId="{70972282-910A-4367-AF7F-8BEFFBB8D73D}">
      <dgm:prSet/>
      <dgm:spPr/>
      <dgm:t>
        <a:bodyPr/>
        <a:lstStyle/>
        <a:p>
          <a:endParaRPr lang="pt-BR" sz="2800"/>
        </a:p>
      </dgm:t>
    </dgm:pt>
    <dgm:pt modelId="{836919D2-43F4-442C-A47C-400EE02472E4}" type="sibTrans" cxnId="{70972282-910A-4367-AF7F-8BEFFBB8D73D}">
      <dgm:prSet/>
      <dgm:spPr/>
      <dgm:t>
        <a:bodyPr/>
        <a:lstStyle/>
        <a:p>
          <a:endParaRPr lang="pt-BR" sz="2800"/>
        </a:p>
      </dgm:t>
    </dgm:pt>
    <dgm:pt modelId="{D70BA4E9-B918-4243-BD87-91F73E5C3A73}">
      <dgm:prSet phldrT="[Texto]" custT="1"/>
      <dgm:spPr/>
      <dgm:t>
        <a:bodyPr/>
        <a:lstStyle/>
        <a:p>
          <a:r>
            <a:rPr lang="pt-BR" sz="1200"/>
            <a:t>Agências reguladoras</a:t>
          </a:r>
        </a:p>
      </dgm:t>
    </dgm:pt>
    <dgm:pt modelId="{2D7FC133-CC97-4F60-BE2D-A240893D6E7B}" type="parTrans" cxnId="{73C0443B-43D1-4E61-9A97-31B3B048908B}">
      <dgm:prSet/>
      <dgm:spPr/>
      <dgm:t>
        <a:bodyPr/>
        <a:lstStyle/>
        <a:p>
          <a:endParaRPr lang="pt-BR" sz="2800"/>
        </a:p>
      </dgm:t>
    </dgm:pt>
    <dgm:pt modelId="{04ED82B3-F945-417C-A3F8-0499F83B7CC5}" type="sibTrans" cxnId="{73C0443B-43D1-4E61-9A97-31B3B048908B}">
      <dgm:prSet/>
      <dgm:spPr/>
      <dgm:t>
        <a:bodyPr/>
        <a:lstStyle/>
        <a:p>
          <a:endParaRPr lang="pt-BR" sz="2800"/>
        </a:p>
      </dgm:t>
    </dgm:pt>
    <dgm:pt modelId="{355FF369-4D08-4BC8-911F-9E9CCF4B0802}">
      <dgm:prSet phldrT="[Texto]" custT="1"/>
      <dgm:spPr/>
      <dgm:t>
        <a:bodyPr/>
        <a:lstStyle/>
        <a:p>
          <a:r>
            <a:rPr lang="pt-BR" sz="1200"/>
            <a:t>Poder Executivo</a:t>
          </a:r>
        </a:p>
      </dgm:t>
    </dgm:pt>
    <dgm:pt modelId="{B9437AF8-C1BE-4BC1-A67D-0FDF08CDAE9B}" type="parTrans" cxnId="{1CF0FB31-0420-4BFF-B9B5-3030CA8A0F0E}">
      <dgm:prSet/>
      <dgm:spPr/>
      <dgm:t>
        <a:bodyPr/>
        <a:lstStyle/>
        <a:p>
          <a:endParaRPr lang="pt-BR" sz="2800"/>
        </a:p>
      </dgm:t>
    </dgm:pt>
    <dgm:pt modelId="{892F1F21-3C6B-4313-832B-24840F6149CD}" type="sibTrans" cxnId="{1CF0FB31-0420-4BFF-B9B5-3030CA8A0F0E}">
      <dgm:prSet/>
      <dgm:spPr/>
      <dgm:t>
        <a:bodyPr/>
        <a:lstStyle/>
        <a:p>
          <a:endParaRPr lang="pt-BR" sz="2800"/>
        </a:p>
      </dgm:t>
    </dgm:pt>
    <dgm:pt modelId="{A9796C23-7A1C-4273-ADDE-10375001BD02}">
      <dgm:prSet phldrT="[Texto]" custT="1"/>
      <dgm:spPr/>
      <dgm:t>
        <a:bodyPr/>
        <a:lstStyle/>
        <a:p>
          <a:r>
            <a:rPr lang="pt-BR" sz="1200"/>
            <a:t>Ministério Público</a:t>
          </a:r>
        </a:p>
      </dgm:t>
    </dgm:pt>
    <dgm:pt modelId="{F8CC70E6-6630-4167-A11C-ED1A8DEDEC2E}" type="parTrans" cxnId="{16639199-FB06-4A9D-B7A6-AD26911A247B}">
      <dgm:prSet/>
      <dgm:spPr/>
      <dgm:t>
        <a:bodyPr/>
        <a:lstStyle/>
        <a:p>
          <a:endParaRPr lang="pt-BR" sz="2800"/>
        </a:p>
      </dgm:t>
    </dgm:pt>
    <dgm:pt modelId="{FF83E0A2-6279-48C1-9CBC-557E120DB821}" type="sibTrans" cxnId="{16639199-FB06-4A9D-B7A6-AD26911A247B}">
      <dgm:prSet/>
      <dgm:spPr/>
      <dgm:t>
        <a:bodyPr/>
        <a:lstStyle/>
        <a:p>
          <a:endParaRPr lang="pt-BR" sz="2800"/>
        </a:p>
      </dgm:t>
    </dgm:pt>
    <dgm:pt modelId="{2E821D67-04B1-401D-A9DC-9643E2BB4A94}">
      <dgm:prSet phldrT="[Texto]" custT="1"/>
      <dgm:spPr/>
      <dgm:t>
        <a:bodyPr/>
        <a:lstStyle/>
        <a:p>
          <a:r>
            <a:rPr lang="pt-BR" sz="1200"/>
            <a:t>Investidores privados</a:t>
          </a:r>
        </a:p>
      </dgm:t>
    </dgm:pt>
    <dgm:pt modelId="{ED16E82A-AAB6-46DC-82AC-3620795BCB68}" type="parTrans" cxnId="{6076CEF2-4EB3-453A-9EED-8218B1E4E1FC}">
      <dgm:prSet/>
      <dgm:spPr/>
      <dgm:t>
        <a:bodyPr/>
        <a:lstStyle/>
        <a:p>
          <a:endParaRPr lang="pt-BR" sz="2800"/>
        </a:p>
      </dgm:t>
    </dgm:pt>
    <dgm:pt modelId="{E3EB45FB-F217-490F-8791-3D3868C6D606}" type="sibTrans" cxnId="{6076CEF2-4EB3-453A-9EED-8218B1E4E1FC}">
      <dgm:prSet/>
      <dgm:spPr/>
      <dgm:t>
        <a:bodyPr/>
        <a:lstStyle/>
        <a:p>
          <a:endParaRPr lang="pt-BR" sz="2800"/>
        </a:p>
      </dgm:t>
    </dgm:pt>
    <dgm:pt modelId="{05A6374B-DA98-4BC2-B1E0-00F6A5733186}">
      <dgm:prSet phldrT="[Texto]" custT="1"/>
      <dgm:spPr/>
      <dgm:t>
        <a:bodyPr/>
        <a:lstStyle/>
        <a:p>
          <a:r>
            <a:rPr lang="pt-BR" sz="1200"/>
            <a:t>Poder Legislativo</a:t>
          </a:r>
        </a:p>
      </dgm:t>
    </dgm:pt>
    <dgm:pt modelId="{0AB7E658-CBCC-48EF-B17C-E8C493852016}" type="parTrans" cxnId="{76A2578A-422D-45F2-9663-8986F0F49C8E}">
      <dgm:prSet/>
      <dgm:spPr/>
      <dgm:t>
        <a:bodyPr/>
        <a:lstStyle/>
        <a:p>
          <a:endParaRPr lang="pt-BR" sz="2800"/>
        </a:p>
      </dgm:t>
    </dgm:pt>
    <dgm:pt modelId="{64E69C62-5A54-43F0-842B-067160680317}" type="sibTrans" cxnId="{76A2578A-422D-45F2-9663-8986F0F49C8E}">
      <dgm:prSet/>
      <dgm:spPr/>
      <dgm:t>
        <a:bodyPr/>
        <a:lstStyle/>
        <a:p>
          <a:endParaRPr lang="pt-BR" sz="2800"/>
        </a:p>
      </dgm:t>
    </dgm:pt>
    <dgm:pt modelId="{D75A9DB1-F014-44B6-B471-A7CD55F5A713}">
      <dgm:prSet phldrT="[Texto]" custT="1"/>
      <dgm:spPr/>
      <dgm:t>
        <a:bodyPr/>
        <a:lstStyle/>
        <a:p>
          <a:r>
            <a:rPr lang="pt-BR" sz="1200"/>
            <a:t>Tribunais de contas</a:t>
          </a:r>
        </a:p>
      </dgm:t>
    </dgm:pt>
    <dgm:pt modelId="{E07F4030-BC81-4667-9E77-CEC591581462}" type="parTrans" cxnId="{7154B863-0525-4CAF-8358-96C90EF4FE8C}">
      <dgm:prSet/>
      <dgm:spPr/>
      <dgm:t>
        <a:bodyPr/>
        <a:lstStyle/>
        <a:p>
          <a:endParaRPr lang="pt-BR" sz="2800"/>
        </a:p>
      </dgm:t>
    </dgm:pt>
    <dgm:pt modelId="{391D8030-DE77-4C04-863D-5D8B3D798369}" type="sibTrans" cxnId="{7154B863-0525-4CAF-8358-96C90EF4FE8C}">
      <dgm:prSet/>
      <dgm:spPr/>
      <dgm:t>
        <a:bodyPr/>
        <a:lstStyle/>
        <a:p>
          <a:endParaRPr lang="pt-BR" sz="2800"/>
        </a:p>
      </dgm:t>
    </dgm:pt>
    <dgm:pt modelId="{7F14A810-5C0A-4071-8439-3D0762ABF3E1}">
      <dgm:prSet phldrT="[Texto]" custT="1"/>
      <dgm:spPr/>
      <dgm:t>
        <a:bodyPr/>
        <a:lstStyle/>
        <a:p>
          <a:r>
            <a:rPr lang="pt-BR" sz="1200"/>
            <a:t>Empresa estatal</a:t>
          </a:r>
        </a:p>
      </dgm:t>
    </dgm:pt>
    <dgm:pt modelId="{E6A1115F-6396-4E4D-A6F0-06D8A42F49D4}" type="parTrans" cxnId="{C5587BAA-9F16-4F67-826C-BF348839205A}">
      <dgm:prSet/>
      <dgm:spPr/>
      <dgm:t>
        <a:bodyPr/>
        <a:lstStyle/>
        <a:p>
          <a:endParaRPr lang="pt-BR" sz="2800"/>
        </a:p>
      </dgm:t>
    </dgm:pt>
    <dgm:pt modelId="{C9DFA338-E31F-45C6-8887-56E75E586FD1}" type="sibTrans" cxnId="{C5587BAA-9F16-4F67-826C-BF348839205A}">
      <dgm:prSet/>
      <dgm:spPr/>
      <dgm:t>
        <a:bodyPr/>
        <a:lstStyle/>
        <a:p>
          <a:endParaRPr lang="pt-BR" sz="2800"/>
        </a:p>
      </dgm:t>
    </dgm:pt>
    <dgm:pt modelId="{BD89AA2C-E4F9-4AFA-B05E-D33B010EF919}" type="pres">
      <dgm:prSet presAssocID="{935EBC6E-8EE0-4B79-A841-7D380B8D6CAD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pt-BR"/>
        </a:p>
      </dgm:t>
    </dgm:pt>
    <dgm:pt modelId="{BD5B095B-55A6-437B-B477-1EA8B5E8661A}" type="pres">
      <dgm:prSet presAssocID="{935EBC6E-8EE0-4B79-A841-7D380B8D6CAD}" presName="radial" presStyleCnt="0">
        <dgm:presLayoutVars>
          <dgm:animLvl val="ctr"/>
        </dgm:presLayoutVars>
      </dgm:prSet>
      <dgm:spPr/>
    </dgm:pt>
    <dgm:pt modelId="{695607C6-2EDC-481F-BE90-4A4D28FA3B23}" type="pres">
      <dgm:prSet presAssocID="{56D19394-6F04-42B7-B907-1D44CD2D61C7}" presName="centerShape" presStyleLbl="vennNode1" presStyleIdx="0" presStyleCnt="9"/>
      <dgm:spPr/>
      <dgm:t>
        <a:bodyPr/>
        <a:lstStyle/>
        <a:p>
          <a:endParaRPr lang="pt-BR"/>
        </a:p>
      </dgm:t>
    </dgm:pt>
    <dgm:pt modelId="{08CAE574-2C84-4F0E-9947-5B0F2A3AAC27}" type="pres">
      <dgm:prSet presAssocID="{96A6D2D1-4E20-44C9-A008-1FDFC3961B52}" presName="node" presStyleLbl="vennNode1" presStyleIdx="1" presStyleCnt="9" custScaleX="112660" custScaleY="102648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D93B262C-4596-4171-ACC9-6B321019C263}" type="pres">
      <dgm:prSet presAssocID="{2E821D67-04B1-401D-A9DC-9643E2BB4A94}" presName="node" presStyleLbl="vennNode1" presStyleIdx="2" presStyleCnt="9" custScaleX="136885" custScaleY="91647" custRadScaleRad="96435" custRadScaleInc="6252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362908D1-B3B4-499A-8B7B-9F855459541C}" type="pres">
      <dgm:prSet presAssocID="{D70BA4E9-B918-4243-BD87-91F73E5C3A73}" presName="node" presStyleLbl="vennNode1" presStyleIdx="3" presStyleCnt="9" custScaleX="127829" custScaleY="99904" custRadScaleRad="103288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16DE47E6-3472-4C48-AA28-C5C4B63E0AF1}" type="pres">
      <dgm:prSet presAssocID="{355FF369-4D08-4BC8-911F-9E9CCF4B0802}" presName="node" presStyleLbl="vennNode1" presStyleIdx="4" presStyleCnt="9" custScaleX="103999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2B27A015-1FE9-4259-834D-6291BE25096E}" type="pres">
      <dgm:prSet presAssocID="{A9796C23-7A1C-4273-ADDE-10375001BD02}" presName="node" presStyleLbl="vennNode1" presStyleIdx="5" presStyleCnt="9" custScaleX="109085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581D4A3D-23B0-4C6D-B138-843E664D1537}" type="pres">
      <dgm:prSet presAssocID="{05A6374B-DA98-4BC2-B1E0-00F6A5733186}" presName="node" presStyleLbl="vennNode1" presStyleIdx="6" presStyleCnt="9" custScaleX="112390" custScaleY="110104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0966F21B-00A6-455E-9B82-7D132EA42EA9}" type="pres">
      <dgm:prSet presAssocID="{D75A9DB1-F014-44B6-B471-A7CD55F5A713}" presName="node" presStyleLbl="vennNode1" presStyleIdx="7" presStyleCnt="9" custScaleX="114591" custScaleY="105094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0902139F-EFB9-490F-A55C-515E126D3973}" type="pres">
      <dgm:prSet presAssocID="{7F14A810-5C0A-4071-8439-3D0762ABF3E1}" presName="node" presStyleLbl="vennNode1" presStyleIdx="8" presStyleCnt="9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</dgm:ptLst>
  <dgm:cxnLst>
    <dgm:cxn modelId="{D43D39F2-1351-4A2D-8BE9-71A4D5D67968}" srcId="{935EBC6E-8EE0-4B79-A841-7D380B8D6CAD}" destId="{56D19394-6F04-42B7-B907-1D44CD2D61C7}" srcOrd="0" destOrd="0" parTransId="{418F51D4-6441-44E7-97AB-78497D834651}" sibTransId="{DAEBFBFE-AC98-4ACD-9A0C-1F43754F7989}"/>
    <dgm:cxn modelId="{C5587BAA-9F16-4F67-826C-BF348839205A}" srcId="{56D19394-6F04-42B7-B907-1D44CD2D61C7}" destId="{7F14A810-5C0A-4071-8439-3D0762ABF3E1}" srcOrd="7" destOrd="0" parTransId="{E6A1115F-6396-4E4D-A6F0-06D8A42F49D4}" sibTransId="{C9DFA338-E31F-45C6-8887-56E75E586FD1}"/>
    <dgm:cxn modelId="{73C0443B-43D1-4E61-9A97-31B3B048908B}" srcId="{56D19394-6F04-42B7-B907-1D44CD2D61C7}" destId="{D70BA4E9-B918-4243-BD87-91F73E5C3A73}" srcOrd="2" destOrd="0" parTransId="{2D7FC133-CC97-4F60-BE2D-A240893D6E7B}" sibTransId="{04ED82B3-F945-417C-A3F8-0499F83B7CC5}"/>
    <dgm:cxn modelId="{0BC96A7E-7661-4C6C-A255-48BB430FC8E3}" type="presOf" srcId="{A9796C23-7A1C-4273-ADDE-10375001BD02}" destId="{2B27A015-1FE9-4259-834D-6291BE25096E}" srcOrd="0" destOrd="0" presId="urn:microsoft.com/office/officeart/2005/8/layout/radial3"/>
    <dgm:cxn modelId="{76A2578A-422D-45F2-9663-8986F0F49C8E}" srcId="{56D19394-6F04-42B7-B907-1D44CD2D61C7}" destId="{05A6374B-DA98-4BC2-B1E0-00F6A5733186}" srcOrd="5" destOrd="0" parTransId="{0AB7E658-CBCC-48EF-B17C-E8C493852016}" sibTransId="{64E69C62-5A54-43F0-842B-067160680317}"/>
    <dgm:cxn modelId="{A1FE64C6-4D0A-401D-9820-DAAD236300AF}" type="presOf" srcId="{05A6374B-DA98-4BC2-B1E0-00F6A5733186}" destId="{581D4A3D-23B0-4C6D-B138-843E664D1537}" srcOrd="0" destOrd="0" presId="urn:microsoft.com/office/officeart/2005/8/layout/radial3"/>
    <dgm:cxn modelId="{6076CEF2-4EB3-453A-9EED-8218B1E4E1FC}" srcId="{56D19394-6F04-42B7-B907-1D44CD2D61C7}" destId="{2E821D67-04B1-401D-A9DC-9643E2BB4A94}" srcOrd="1" destOrd="0" parTransId="{ED16E82A-AAB6-46DC-82AC-3620795BCB68}" sibTransId="{E3EB45FB-F217-490F-8791-3D3868C6D606}"/>
    <dgm:cxn modelId="{3F2CCB79-BDCB-4336-9D57-0D748518BAB7}" type="presOf" srcId="{56D19394-6F04-42B7-B907-1D44CD2D61C7}" destId="{695607C6-2EDC-481F-BE90-4A4D28FA3B23}" srcOrd="0" destOrd="0" presId="urn:microsoft.com/office/officeart/2005/8/layout/radial3"/>
    <dgm:cxn modelId="{960651EB-9DF8-472A-9C68-8788DD946D02}" type="presOf" srcId="{355FF369-4D08-4BC8-911F-9E9CCF4B0802}" destId="{16DE47E6-3472-4C48-AA28-C5C4B63E0AF1}" srcOrd="0" destOrd="0" presId="urn:microsoft.com/office/officeart/2005/8/layout/radial3"/>
    <dgm:cxn modelId="{9E4272B6-3458-4F7D-BCA1-DF4202C03D16}" type="presOf" srcId="{D70BA4E9-B918-4243-BD87-91F73E5C3A73}" destId="{362908D1-B3B4-499A-8B7B-9F855459541C}" srcOrd="0" destOrd="0" presId="urn:microsoft.com/office/officeart/2005/8/layout/radial3"/>
    <dgm:cxn modelId="{7154B863-0525-4CAF-8358-96C90EF4FE8C}" srcId="{56D19394-6F04-42B7-B907-1D44CD2D61C7}" destId="{D75A9DB1-F014-44B6-B471-A7CD55F5A713}" srcOrd="6" destOrd="0" parTransId="{E07F4030-BC81-4667-9E77-CEC591581462}" sibTransId="{391D8030-DE77-4C04-863D-5D8B3D798369}"/>
    <dgm:cxn modelId="{AC245501-B7C3-4420-96D3-4A42D37E7F3E}" type="presOf" srcId="{D75A9DB1-F014-44B6-B471-A7CD55F5A713}" destId="{0966F21B-00A6-455E-9B82-7D132EA42EA9}" srcOrd="0" destOrd="0" presId="urn:microsoft.com/office/officeart/2005/8/layout/radial3"/>
    <dgm:cxn modelId="{D0E29FE9-FFB9-4314-852D-2CD5083078BE}" type="presOf" srcId="{7F14A810-5C0A-4071-8439-3D0762ABF3E1}" destId="{0902139F-EFB9-490F-A55C-515E126D3973}" srcOrd="0" destOrd="0" presId="urn:microsoft.com/office/officeart/2005/8/layout/radial3"/>
    <dgm:cxn modelId="{18B64161-DC38-4029-BF93-A2FF92F7720D}" type="presOf" srcId="{935EBC6E-8EE0-4B79-A841-7D380B8D6CAD}" destId="{BD89AA2C-E4F9-4AFA-B05E-D33B010EF919}" srcOrd="0" destOrd="0" presId="urn:microsoft.com/office/officeart/2005/8/layout/radial3"/>
    <dgm:cxn modelId="{ADB337E1-DEDF-40F5-9245-CE0FF9A8B1CD}" type="presOf" srcId="{2E821D67-04B1-401D-A9DC-9643E2BB4A94}" destId="{D93B262C-4596-4171-ACC9-6B321019C263}" srcOrd="0" destOrd="0" presId="urn:microsoft.com/office/officeart/2005/8/layout/radial3"/>
    <dgm:cxn modelId="{70972282-910A-4367-AF7F-8BEFFBB8D73D}" srcId="{56D19394-6F04-42B7-B907-1D44CD2D61C7}" destId="{96A6D2D1-4E20-44C9-A008-1FDFC3961B52}" srcOrd="0" destOrd="0" parTransId="{26FED45E-DF4A-4DAC-AEE7-EC28F6ECD8D1}" sibTransId="{836919D2-43F4-442C-A47C-400EE02472E4}"/>
    <dgm:cxn modelId="{16746688-60E1-4885-98A4-350628808552}" type="presOf" srcId="{96A6D2D1-4E20-44C9-A008-1FDFC3961B52}" destId="{08CAE574-2C84-4F0E-9947-5B0F2A3AAC27}" srcOrd="0" destOrd="0" presId="urn:microsoft.com/office/officeart/2005/8/layout/radial3"/>
    <dgm:cxn modelId="{1CF0FB31-0420-4BFF-B9B5-3030CA8A0F0E}" srcId="{56D19394-6F04-42B7-B907-1D44CD2D61C7}" destId="{355FF369-4D08-4BC8-911F-9E9CCF4B0802}" srcOrd="3" destOrd="0" parTransId="{B9437AF8-C1BE-4BC1-A67D-0FDF08CDAE9B}" sibTransId="{892F1F21-3C6B-4313-832B-24840F6149CD}"/>
    <dgm:cxn modelId="{16639199-FB06-4A9D-B7A6-AD26911A247B}" srcId="{56D19394-6F04-42B7-B907-1D44CD2D61C7}" destId="{A9796C23-7A1C-4273-ADDE-10375001BD02}" srcOrd="4" destOrd="0" parTransId="{F8CC70E6-6630-4167-A11C-ED1A8DEDEC2E}" sibTransId="{FF83E0A2-6279-48C1-9CBC-557E120DB821}"/>
    <dgm:cxn modelId="{3179B341-4CC3-48B7-BE9C-D20B0ACC99FC}" type="presParOf" srcId="{BD89AA2C-E4F9-4AFA-B05E-D33B010EF919}" destId="{BD5B095B-55A6-437B-B477-1EA8B5E8661A}" srcOrd="0" destOrd="0" presId="urn:microsoft.com/office/officeart/2005/8/layout/radial3"/>
    <dgm:cxn modelId="{5F7BAE2B-A9D7-436B-9222-134D4973BE98}" type="presParOf" srcId="{BD5B095B-55A6-437B-B477-1EA8B5E8661A}" destId="{695607C6-2EDC-481F-BE90-4A4D28FA3B23}" srcOrd="0" destOrd="0" presId="urn:microsoft.com/office/officeart/2005/8/layout/radial3"/>
    <dgm:cxn modelId="{C2332CFC-C3E1-480F-B4C9-5452A502AA41}" type="presParOf" srcId="{BD5B095B-55A6-437B-B477-1EA8B5E8661A}" destId="{08CAE574-2C84-4F0E-9947-5B0F2A3AAC27}" srcOrd="1" destOrd="0" presId="urn:microsoft.com/office/officeart/2005/8/layout/radial3"/>
    <dgm:cxn modelId="{D1EF5C8A-17ED-4A8E-AA50-747176A77DB0}" type="presParOf" srcId="{BD5B095B-55A6-437B-B477-1EA8B5E8661A}" destId="{D93B262C-4596-4171-ACC9-6B321019C263}" srcOrd="2" destOrd="0" presId="urn:microsoft.com/office/officeart/2005/8/layout/radial3"/>
    <dgm:cxn modelId="{C784C9BF-233D-42F4-A83F-18894687A80A}" type="presParOf" srcId="{BD5B095B-55A6-437B-B477-1EA8B5E8661A}" destId="{362908D1-B3B4-499A-8B7B-9F855459541C}" srcOrd="3" destOrd="0" presId="urn:microsoft.com/office/officeart/2005/8/layout/radial3"/>
    <dgm:cxn modelId="{AA1992EC-D76C-4451-A37C-D203517EC697}" type="presParOf" srcId="{BD5B095B-55A6-437B-B477-1EA8B5E8661A}" destId="{16DE47E6-3472-4C48-AA28-C5C4B63E0AF1}" srcOrd="4" destOrd="0" presId="urn:microsoft.com/office/officeart/2005/8/layout/radial3"/>
    <dgm:cxn modelId="{CAFD8063-234D-4781-9101-DF8CC4F381FA}" type="presParOf" srcId="{BD5B095B-55A6-437B-B477-1EA8B5E8661A}" destId="{2B27A015-1FE9-4259-834D-6291BE25096E}" srcOrd="5" destOrd="0" presId="urn:microsoft.com/office/officeart/2005/8/layout/radial3"/>
    <dgm:cxn modelId="{45D63795-A645-4358-B789-90E38A7A8D46}" type="presParOf" srcId="{BD5B095B-55A6-437B-B477-1EA8B5E8661A}" destId="{581D4A3D-23B0-4C6D-B138-843E664D1537}" srcOrd="6" destOrd="0" presId="urn:microsoft.com/office/officeart/2005/8/layout/radial3"/>
    <dgm:cxn modelId="{F9A2A0D1-D6F6-4421-A3F7-5DCDE8C42582}" type="presParOf" srcId="{BD5B095B-55A6-437B-B477-1EA8B5E8661A}" destId="{0966F21B-00A6-455E-9B82-7D132EA42EA9}" srcOrd="7" destOrd="0" presId="urn:microsoft.com/office/officeart/2005/8/layout/radial3"/>
    <dgm:cxn modelId="{0EBC2F81-1CC6-4548-969C-469408330BCF}" type="presParOf" srcId="{BD5B095B-55A6-437B-B477-1EA8B5E8661A}" destId="{0902139F-EFB9-490F-A55C-515E126D3973}" srcOrd="8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24BD087-8812-4081-9523-AD35289E7B1D}" type="doc">
      <dgm:prSet loTypeId="urn:microsoft.com/office/officeart/2005/8/layout/hList3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20F32B33-426A-44BD-BEBB-74A4BB9F4A8F}">
      <dgm:prSet phldrT="[Texto]" custT="1"/>
      <dgm:spPr/>
      <dgm:t>
        <a:bodyPr/>
        <a:lstStyle/>
        <a:p>
          <a:r>
            <a:rPr lang="en-US" sz="1100">
              <a:latin typeface="Arial" panose="020B0604020202020204" pitchFamily="34" charset="0"/>
              <a:cs typeface="Arial" panose="020B0604020202020204" pitchFamily="34" charset="0"/>
            </a:rPr>
            <a:t>Sociedade</a:t>
          </a:r>
          <a:r>
            <a:rPr lang="en-US" sz="1200">
              <a:latin typeface="Arial" panose="020B0604020202020204" pitchFamily="34" charset="0"/>
              <a:cs typeface="Arial" panose="020B0604020202020204" pitchFamily="34" charset="0"/>
            </a:rPr>
            <a:t> civil</a:t>
          </a:r>
        </a:p>
      </dgm:t>
    </dgm:pt>
    <dgm:pt modelId="{2139143E-9D91-4A42-B3FA-220791663DD4}" type="parTrans" cxnId="{BBDB6450-C9C0-4D64-A664-9948C10C1D37}">
      <dgm:prSet/>
      <dgm:spPr/>
      <dgm:t>
        <a:bodyPr/>
        <a:lstStyle/>
        <a:p>
          <a:endParaRPr lang="en-US"/>
        </a:p>
      </dgm:t>
    </dgm:pt>
    <dgm:pt modelId="{E7AE2A97-C471-4A0A-870F-1418A54919EB}" type="sibTrans" cxnId="{BBDB6450-C9C0-4D64-A664-9948C10C1D37}">
      <dgm:prSet/>
      <dgm:spPr/>
      <dgm:t>
        <a:bodyPr/>
        <a:lstStyle/>
        <a:p>
          <a:endParaRPr lang="en-US"/>
        </a:p>
      </dgm:t>
    </dgm:pt>
    <dgm:pt modelId="{88811A74-8065-4A19-BC3F-04E1A57C5B33}">
      <dgm:prSet phldrT="[Texto]" custT="1"/>
      <dgm:spPr/>
      <dgm:t>
        <a:bodyPr/>
        <a:lstStyle/>
        <a:p>
          <a:r>
            <a:rPr lang="en-US" sz="1100">
              <a:latin typeface="Arial" panose="020B0604020202020204" pitchFamily="34" charset="0"/>
              <a:cs typeface="Arial" panose="020B0604020202020204" pitchFamily="34" charset="0"/>
            </a:rPr>
            <a:t>Investidores</a:t>
          </a:r>
          <a:r>
            <a:rPr lang="en-US" sz="1200">
              <a:latin typeface="Arial" panose="020B0604020202020204" pitchFamily="34" charset="0"/>
              <a:cs typeface="Arial" panose="020B0604020202020204" pitchFamily="34" charset="0"/>
            </a:rPr>
            <a:t> privados</a:t>
          </a:r>
        </a:p>
      </dgm:t>
    </dgm:pt>
    <dgm:pt modelId="{2325FE6D-6B19-40F8-A08E-C104D9395503}" type="parTrans" cxnId="{D7F183D6-D548-4CAB-B656-6EAE882EEE8A}">
      <dgm:prSet/>
      <dgm:spPr/>
      <dgm:t>
        <a:bodyPr/>
        <a:lstStyle/>
        <a:p>
          <a:endParaRPr lang="en-US"/>
        </a:p>
      </dgm:t>
    </dgm:pt>
    <dgm:pt modelId="{CC1E9AE2-3470-4F0E-B0D3-9410F7BEF52E}" type="sibTrans" cxnId="{D7F183D6-D548-4CAB-B656-6EAE882EEE8A}">
      <dgm:prSet/>
      <dgm:spPr/>
      <dgm:t>
        <a:bodyPr/>
        <a:lstStyle/>
        <a:p>
          <a:endParaRPr lang="en-US"/>
        </a:p>
      </dgm:t>
    </dgm:pt>
    <dgm:pt modelId="{2F395D79-996C-4A3A-9670-CB6F0D87F73E}">
      <dgm:prSet phldrT="[Texto]" custT="1"/>
      <dgm:spPr/>
      <dgm:t>
        <a:bodyPr/>
        <a:lstStyle/>
        <a:p>
          <a:r>
            <a:rPr lang="en-US" sz="1100">
              <a:latin typeface="Arial" panose="020B0604020202020204" pitchFamily="34" charset="0"/>
              <a:cs typeface="Arial" panose="020B0604020202020204" pitchFamily="34" charset="0"/>
            </a:rPr>
            <a:t>Agências </a:t>
          </a:r>
          <a:r>
            <a:rPr lang="en-US" sz="1000">
              <a:latin typeface="Arial" panose="020B0604020202020204" pitchFamily="34" charset="0"/>
              <a:cs typeface="Arial" panose="020B0604020202020204" pitchFamily="34" charset="0"/>
            </a:rPr>
            <a:t>reguladoras</a:t>
          </a:r>
          <a:endParaRPr lang="en-US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F9EE625-D45F-41BB-A23E-DD05E016744C}" type="parTrans" cxnId="{14CE0EAD-4276-4F06-884F-24E0D72E32D6}">
      <dgm:prSet/>
      <dgm:spPr/>
      <dgm:t>
        <a:bodyPr/>
        <a:lstStyle/>
        <a:p>
          <a:endParaRPr lang="en-US"/>
        </a:p>
      </dgm:t>
    </dgm:pt>
    <dgm:pt modelId="{52DCA480-2A0D-409F-9197-A2C728CDFED3}" type="sibTrans" cxnId="{14CE0EAD-4276-4F06-884F-24E0D72E32D6}">
      <dgm:prSet/>
      <dgm:spPr/>
      <dgm:t>
        <a:bodyPr/>
        <a:lstStyle/>
        <a:p>
          <a:endParaRPr lang="en-US"/>
        </a:p>
      </dgm:t>
    </dgm:pt>
    <dgm:pt modelId="{F741BDAD-4817-4C9E-9F1F-A74B0F6DE61F}">
      <dgm:prSet phldrT="[Texto]"/>
      <dgm:spPr/>
      <dgm:t>
        <a:bodyPr/>
        <a:lstStyle/>
        <a:p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Principais atores e interessados no processo de privatização</a:t>
          </a:r>
        </a:p>
      </dgm:t>
    </dgm:pt>
    <dgm:pt modelId="{F96B319F-2D73-4CC8-9D60-5BA6D89303BC}" type="sibTrans" cxnId="{56493140-F05D-4100-A705-514DE1FE625D}">
      <dgm:prSet/>
      <dgm:spPr/>
      <dgm:t>
        <a:bodyPr/>
        <a:lstStyle/>
        <a:p>
          <a:endParaRPr lang="en-US"/>
        </a:p>
      </dgm:t>
    </dgm:pt>
    <dgm:pt modelId="{0DD3AC0E-5CF9-42C6-8B9B-247D47D23CCB}" type="parTrans" cxnId="{56493140-F05D-4100-A705-514DE1FE625D}">
      <dgm:prSet/>
      <dgm:spPr/>
      <dgm:t>
        <a:bodyPr/>
        <a:lstStyle/>
        <a:p>
          <a:endParaRPr lang="en-US"/>
        </a:p>
      </dgm:t>
    </dgm:pt>
    <dgm:pt modelId="{09119682-B6A2-49BA-AEFD-06AC2CF6B00D}">
      <dgm:prSet phldrT="[Texto]" custT="1"/>
      <dgm:spPr/>
      <dgm:t>
        <a:bodyPr/>
        <a:lstStyle/>
        <a:p>
          <a:r>
            <a:rPr lang="en-US" sz="1100">
              <a:latin typeface="Arial" panose="020B0604020202020204" pitchFamily="34" charset="0"/>
              <a:cs typeface="Arial" panose="020B0604020202020204" pitchFamily="34" charset="0"/>
            </a:rPr>
            <a:t>Poder Executivo</a:t>
          </a:r>
        </a:p>
      </dgm:t>
    </dgm:pt>
    <dgm:pt modelId="{3D348142-CA61-4D50-BA25-7F871D6ED670}" type="parTrans" cxnId="{DA60E970-67EF-47D4-B93C-30DA4A3F8DEF}">
      <dgm:prSet/>
      <dgm:spPr/>
      <dgm:t>
        <a:bodyPr/>
        <a:lstStyle/>
        <a:p>
          <a:endParaRPr lang="en-US"/>
        </a:p>
      </dgm:t>
    </dgm:pt>
    <dgm:pt modelId="{7927CE68-5F7C-49D6-A833-0D7E5AC86ADF}" type="sibTrans" cxnId="{DA60E970-67EF-47D4-B93C-30DA4A3F8DEF}">
      <dgm:prSet/>
      <dgm:spPr/>
      <dgm:t>
        <a:bodyPr/>
        <a:lstStyle/>
        <a:p>
          <a:endParaRPr lang="en-US"/>
        </a:p>
      </dgm:t>
    </dgm:pt>
    <dgm:pt modelId="{3868E906-0285-496E-BAF0-EB428074D446}">
      <dgm:prSet phldrT="[Texto]" custT="1"/>
      <dgm:spPr/>
      <dgm:t>
        <a:bodyPr/>
        <a:lstStyle/>
        <a:p>
          <a:r>
            <a:rPr lang="en-US" sz="1100">
              <a:latin typeface="Arial" panose="020B0604020202020204" pitchFamily="34" charset="0"/>
              <a:cs typeface="Arial" panose="020B0604020202020204" pitchFamily="34" charset="0"/>
            </a:rPr>
            <a:t>Ministério Público</a:t>
          </a:r>
        </a:p>
      </dgm:t>
    </dgm:pt>
    <dgm:pt modelId="{38CC2DF1-7FE2-4BE9-B863-7CBBBCAF875F}" type="parTrans" cxnId="{8E037862-834A-405E-93AA-29D7EFF5F17B}">
      <dgm:prSet/>
      <dgm:spPr/>
      <dgm:t>
        <a:bodyPr/>
        <a:lstStyle/>
        <a:p>
          <a:endParaRPr lang="en-US"/>
        </a:p>
      </dgm:t>
    </dgm:pt>
    <dgm:pt modelId="{41D28B71-14AF-424D-AE3D-81C46B9E897C}" type="sibTrans" cxnId="{8E037862-834A-405E-93AA-29D7EFF5F17B}">
      <dgm:prSet/>
      <dgm:spPr/>
      <dgm:t>
        <a:bodyPr/>
        <a:lstStyle/>
        <a:p>
          <a:endParaRPr lang="en-US"/>
        </a:p>
      </dgm:t>
    </dgm:pt>
    <dgm:pt modelId="{D2DC803E-DE9C-4EF9-82E4-CD105BE28EFB}">
      <dgm:prSet phldrT="[Texto]" custT="1"/>
      <dgm:spPr/>
      <dgm:t>
        <a:bodyPr/>
        <a:lstStyle/>
        <a:p>
          <a:r>
            <a:rPr lang="en-US" sz="1100">
              <a:latin typeface="Arial" panose="020B0604020202020204" pitchFamily="34" charset="0"/>
              <a:cs typeface="Arial" panose="020B0604020202020204" pitchFamily="34" charset="0"/>
            </a:rPr>
            <a:t>Poder Legislativo</a:t>
          </a:r>
        </a:p>
      </dgm:t>
    </dgm:pt>
    <dgm:pt modelId="{3CDB67F6-CD8D-4416-98F4-77C8AC691B05}" type="parTrans" cxnId="{CA42FF0A-25C6-465B-9E96-AAAA685B95F8}">
      <dgm:prSet/>
      <dgm:spPr/>
      <dgm:t>
        <a:bodyPr/>
        <a:lstStyle/>
        <a:p>
          <a:endParaRPr lang="en-US"/>
        </a:p>
      </dgm:t>
    </dgm:pt>
    <dgm:pt modelId="{774BBE90-F2A2-4676-8141-C02FB6F02F53}" type="sibTrans" cxnId="{CA42FF0A-25C6-465B-9E96-AAAA685B95F8}">
      <dgm:prSet/>
      <dgm:spPr/>
      <dgm:t>
        <a:bodyPr/>
        <a:lstStyle/>
        <a:p>
          <a:endParaRPr lang="en-US"/>
        </a:p>
      </dgm:t>
    </dgm:pt>
    <dgm:pt modelId="{90B6D96F-1F1D-4E25-926F-BD4DFA15BAB7}">
      <dgm:prSet phldrT="[Texto]" custT="1"/>
      <dgm:spPr/>
      <dgm:t>
        <a:bodyPr/>
        <a:lstStyle/>
        <a:p>
          <a:r>
            <a:rPr lang="en-US" sz="1100">
              <a:latin typeface="Arial" panose="020B0604020202020204" pitchFamily="34" charset="0"/>
              <a:cs typeface="Arial" panose="020B0604020202020204" pitchFamily="34" charset="0"/>
            </a:rPr>
            <a:t>Tribunais de contas</a:t>
          </a:r>
        </a:p>
      </dgm:t>
    </dgm:pt>
    <dgm:pt modelId="{C983FC9E-538D-4199-BA8F-B5E040247257}" type="parTrans" cxnId="{F008B8D3-5F52-406C-BE87-7197C002CBCA}">
      <dgm:prSet/>
      <dgm:spPr/>
      <dgm:t>
        <a:bodyPr/>
        <a:lstStyle/>
        <a:p>
          <a:endParaRPr lang="en-US"/>
        </a:p>
      </dgm:t>
    </dgm:pt>
    <dgm:pt modelId="{702A6F67-A6CF-4414-99BA-ECA6CE7D28DB}" type="sibTrans" cxnId="{F008B8D3-5F52-406C-BE87-7197C002CBCA}">
      <dgm:prSet/>
      <dgm:spPr/>
      <dgm:t>
        <a:bodyPr/>
        <a:lstStyle/>
        <a:p>
          <a:endParaRPr lang="en-US"/>
        </a:p>
      </dgm:t>
    </dgm:pt>
    <dgm:pt modelId="{1B987B5E-B925-4F15-A94D-91345F1B9E25}">
      <dgm:prSet phldrT="[Texto]" custT="1"/>
      <dgm:spPr/>
      <dgm:t>
        <a:bodyPr/>
        <a:lstStyle/>
        <a:p>
          <a:r>
            <a:rPr lang="en-US" sz="1100">
              <a:latin typeface="Arial" panose="020B0604020202020204" pitchFamily="34" charset="0"/>
              <a:cs typeface="Arial" panose="020B0604020202020204" pitchFamily="34" charset="0"/>
            </a:rPr>
            <a:t>Empresa estatal</a:t>
          </a:r>
        </a:p>
      </dgm:t>
    </dgm:pt>
    <dgm:pt modelId="{6394BC19-0EF5-490E-BC14-DDF4C7E19B12}" type="parTrans" cxnId="{4EEB1741-CC70-44F4-9278-F11720935059}">
      <dgm:prSet/>
      <dgm:spPr/>
      <dgm:t>
        <a:bodyPr/>
        <a:lstStyle/>
        <a:p>
          <a:endParaRPr lang="en-US"/>
        </a:p>
      </dgm:t>
    </dgm:pt>
    <dgm:pt modelId="{7999DDAE-D92D-4DE1-8872-03F765277053}" type="sibTrans" cxnId="{4EEB1741-CC70-44F4-9278-F11720935059}">
      <dgm:prSet/>
      <dgm:spPr/>
      <dgm:t>
        <a:bodyPr/>
        <a:lstStyle/>
        <a:p>
          <a:endParaRPr lang="en-US"/>
        </a:p>
      </dgm:t>
    </dgm:pt>
    <dgm:pt modelId="{7876D8F5-2807-4913-88EB-3A13188B7971}" type="pres">
      <dgm:prSet presAssocID="{424BD087-8812-4081-9523-AD35289E7B1D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pt-BR"/>
        </a:p>
      </dgm:t>
    </dgm:pt>
    <dgm:pt modelId="{C21A87D9-01B7-485F-AAE0-A7A9A0ABD35B}" type="pres">
      <dgm:prSet presAssocID="{F741BDAD-4817-4C9E-9F1F-A74B0F6DE61F}" presName="roof" presStyleLbl="dkBgShp" presStyleIdx="0" presStyleCnt="2"/>
      <dgm:spPr>
        <a:prstGeom prst="rect">
          <a:avLst/>
        </a:prstGeom>
      </dgm:spPr>
      <dgm:t>
        <a:bodyPr/>
        <a:lstStyle/>
        <a:p>
          <a:endParaRPr lang="pt-BR"/>
        </a:p>
      </dgm:t>
    </dgm:pt>
    <dgm:pt modelId="{1377F3B2-76F7-4292-BD40-E590B85FC307}" type="pres">
      <dgm:prSet presAssocID="{F741BDAD-4817-4C9E-9F1F-A74B0F6DE61F}" presName="pillars" presStyleCnt="0"/>
      <dgm:spPr/>
    </dgm:pt>
    <dgm:pt modelId="{345997DF-7C2C-449B-BAEB-36F126188780}" type="pres">
      <dgm:prSet presAssocID="{F741BDAD-4817-4C9E-9F1F-A74B0F6DE61F}" presName="pillar1" presStyleLbl="node1" presStyleIdx="0" presStyleCnt="8" custScaleX="111129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F0DD4B42-6C15-49C4-A7D1-1264EFAD6996}" type="pres">
      <dgm:prSet presAssocID="{88811A74-8065-4A19-BC3F-04E1A57C5B33}" presName="pillarX" presStyleLbl="node1" presStyleIdx="1" presStyleCnt="8" custScaleX="147152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2BEFD285-DD93-4D4D-9A4A-FEC03372AF26}" type="pres">
      <dgm:prSet presAssocID="{2F395D79-996C-4A3A-9670-CB6F0D87F73E}" presName="pillarX" presStyleLbl="node1" presStyleIdx="2" presStyleCnt="8" custScaleX="113401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67D9EDFD-3C9C-46D4-A5DF-CC9E98DF2EC0}" type="pres">
      <dgm:prSet presAssocID="{09119682-B6A2-49BA-AEFD-06AC2CF6B00D}" presName="pillarX" presStyleLbl="node1" presStyleIdx="3" presStyleCnt="8" custScaleX="114742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EA01C144-854D-4967-8B7B-62BCF6879E0C}" type="pres">
      <dgm:prSet presAssocID="{3868E906-0285-496E-BAF0-EB428074D446}" presName="pillarX" presStyleLbl="node1" presStyleIdx="4" presStyleCnt="8" custScaleX="113916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729C675A-4D48-4848-8F9B-56ACD220F0AC}" type="pres">
      <dgm:prSet presAssocID="{D2DC803E-DE9C-4EF9-82E4-CD105BE28EFB}" presName="pillarX" presStyleLbl="node1" presStyleIdx="5" presStyleCnt="8" custScaleX="117310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ABAA2A5B-87E2-4E52-8EED-7CB64A9F2973}" type="pres">
      <dgm:prSet presAssocID="{90B6D96F-1F1D-4E25-926F-BD4DFA15BAB7}" presName="pillarX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A51A0A37-4695-4A98-8F24-FD978E28DB1A}" type="pres">
      <dgm:prSet presAssocID="{1B987B5E-B925-4F15-A94D-91345F1B9E25}" presName="pillarX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BEDD9DE8-0D2A-4BE0-8342-D049DBCAF81E}" type="pres">
      <dgm:prSet presAssocID="{F741BDAD-4817-4C9E-9F1F-A74B0F6DE61F}" presName="base" presStyleLbl="dkBgShp" presStyleIdx="1" presStyleCnt="2"/>
      <dgm:spPr/>
    </dgm:pt>
  </dgm:ptLst>
  <dgm:cxnLst>
    <dgm:cxn modelId="{56493140-F05D-4100-A705-514DE1FE625D}" srcId="{424BD087-8812-4081-9523-AD35289E7B1D}" destId="{F741BDAD-4817-4C9E-9F1F-A74B0F6DE61F}" srcOrd="0" destOrd="0" parTransId="{0DD3AC0E-5CF9-42C6-8B9B-247D47D23CCB}" sibTransId="{F96B319F-2D73-4CC8-9D60-5BA6D89303BC}"/>
    <dgm:cxn modelId="{7651DDCB-6AB0-43EB-A555-D1C71296BC7C}" type="presOf" srcId="{424BD087-8812-4081-9523-AD35289E7B1D}" destId="{7876D8F5-2807-4913-88EB-3A13188B7971}" srcOrd="0" destOrd="0" presId="urn:microsoft.com/office/officeart/2005/8/layout/hList3"/>
    <dgm:cxn modelId="{3CA29127-BE75-4150-AC08-9BC5D0DE6A13}" type="presOf" srcId="{1B987B5E-B925-4F15-A94D-91345F1B9E25}" destId="{A51A0A37-4695-4A98-8F24-FD978E28DB1A}" srcOrd="0" destOrd="0" presId="urn:microsoft.com/office/officeart/2005/8/layout/hList3"/>
    <dgm:cxn modelId="{FC950B1B-75EF-4386-B5E1-3161B773F1A2}" type="presOf" srcId="{20F32B33-426A-44BD-BEBB-74A4BB9F4A8F}" destId="{345997DF-7C2C-449B-BAEB-36F126188780}" srcOrd="0" destOrd="0" presId="urn:microsoft.com/office/officeart/2005/8/layout/hList3"/>
    <dgm:cxn modelId="{DA60E970-67EF-47D4-B93C-30DA4A3F8DEF}" srcId="{F741BDAD-4817-4C9E-9F1F-A74B0F6DE61F}" destId="{09119682-B6A2-49BA-AEFD-06AC2CF6B00D}" srcOrd="3" destOrd="0" parTransId="{3D348142-CA61-4D50-BA25-7F871D6ED670}" sibTransId="{7927CE68-5F7C-49D6-A833-0D7E5AC86ADF}"/>
    <dgm:cxn modelId="{C516740A-6295-4C91-AB4B-C349AA64B6AA}" type="presOf" srcId="{2F395D79-996C-4A3A-9670-CB6F0D87F73E}" destId="{2BEFD285-DD93-4D4D-9A4A-FEC03372AF26}" srcOrd="0" destOrd="0" presId="urn:microsoft.com/office/officeart/2005/8/layout/hList3"/>
    <dgm:cxn modelId="{1D2C431E-01CB-4510-B89E-F063DEC44D2E}" type="presOf" srcId="{3868E906-0285-496E-BAF0-EB428074D446}" destId="{EA01C144-854D-4967-8B7B-62BCF6879E0C}" srcOrd="0" destOrd="0" presId="urn:microsoft.com/office/officeart/2005/8/layout/hList3"/>
    <dgm:cxn modelId="{D7F183D6-D548-4CAB-B656-6EAE882EEE8A}" srcId="{F741BDAD-4817-4C9E-9F1F-A74B0F6DE61F}" destId="{88811A74-8065-4A19-BC3F-04E1A57C5B33}" srcOrd="1" destOrd="0" parTransId="{2325FE6D-6B19-40F8-A08E-C104D9395503}" sibTransId="{CC1E9AE2-3470-4F0E-B0D3-9410F7BEF52E}"/>
    <dgm:cxn modelId="{F008B8D3-5F52-406C-BE87-7197C002CBCA}" srcId="{F741BDAD-4817-4C9E-9F1F-A74B0F6DE61F}" destId="{90B6D96F-1F1D-4E25-926F-BD4DFA15BAB7}" srcOrd="6" destOrd="0" parTransId="{C983FC9E-538D-4199-BA8F-B5E040247257}" sibTransId="{702A6F67-A6CF-4414-99BA-ECA6CE7D28DB}"/>
    <dgm:cxn modelId="{8E037862-834A-405E-93AA-29D7EFF5F17B}" srcId="{F741BDAD-4817-4C9E-9F1F-A74B0F6DE61F}" destId="{3868E906-0285-496E-BAF0-EB428074D446}" srcOrd="4" destOrd="0" parTransId="{38CC2DF1-7FE2-4BE9-B863-7CBBBCAF875F}" sibTransId="{41D28B71-14AF-424D-AE3D-81C46B9E897C}"/>
    <dgm:cxn modelId="{E15E52ED-B1AD-4E24-85F1-367E60282D25}" type="presOf" srcId="{09119682-B6A2-49BA-AEFD-06AC2CF6B00D}" destId="{67D9EDFD-3C9C-46D4-A5DF-CC9E98DF2EC0}" srcOrd="0" destOrd="0" presId="urn:microsoft.com/office/officeart/2005/8/layout/hList3"/>
    <dgm:cxn modelId="{1CC60472-0D6B-4292-B367-A9FE2D6404AC}" type="presOf" srcId="{D2DC803E-DE9C-4EF9-82E4-CD105BE28EFB}" destId="{729C675A-4D48-4848-8F9B-56ACD220F0AC}" srcOrd="0" destOrd="0" presId="urn:microsoft.com/office/officeart/2005/8/layout/hList3"/>
    <dgm:cxn modelId="{BBDB6450-C9C0-4D64-A664-9948C10C1D37}" srcId="{F741BDAD-4817-4C9E-9F1F-A74B0F6DE61F}" destId="{20F32B33-426A-44BD-BEBB-74A4BB9F4A8F}" srcOrd="0" destOrd="0" parTransId="{2139143E-9D91-4A42-B3FA-220791663DD4}" sibTransId="{E7AE2A97-C471-4A0A-870F-1418A54919EB}"/>
    <dgm:cxn modelId="{4EEB1741-CC70-44F4-9278-F11720935059}" srcId="{F741BDAD-4817-4C9E-9F1F-A74B0F6DE61F}" destId="{1B987B5E-B925-4F15-A94D-91345F1B9E25}" srcOrd="7" destOrd="0" parTransId="{6394BC19-0EF5-490E-BC14-DDF4C7E19B12}" sibTransId="{7999DDAE-D92D-4DE1-8872-03F765277053}"/>
    <dgm:cxn modelId="{14CE0EAD-4276-4F06-884F-24E0D72E32D6}" srcId="{F741BDAD-4817-4C9E-9F1F-A74B0F6DE61F}" destId="{2F395D79-996C-4A3A-9670-CB6F0D87F73E}" srcOrd="2" destOrd="0" parTransId="{6F9EE625-D45F-41BB-A23E-DD05E016744C}" sibTransId="{52DCA480-2A0D-409F-9197-A2C728CDFED3}"/>
    <dgm:cxn modelId="{06929A6D-3264-499B-99F0-45722D4D4184}" type="presOf" srcId="{88811A74-8065-4A19-BC3F-04E1A57C5B33}" destId="{F0DD4B42-6C15-49C4-A7D1-1264EFAD6996}" srcOrd="0" destOrd="0" presId="urn:microsoft.com/office/officeart/2005/8/layout/hList3"/>
    <dgm:cxn modelId="{C5E59E43-C79E-4D86-B87E-70CE4F4C0538}" type="presOf" srcId="{90B6D96F-1F1D-4E25-926F-BD4DFA15BAB7}" destId="{ABAA2A5B-87E2-4E52-8EED-7CB64A9F2973}" srcOrd="0" destOrd="0" presId="urn:microsoft.com/office/officeart/2005/8/layout/hList3"/>
    <dgm:cxn modelId="{2D048A8F-FD52-4395-91C3-2A4BA3DD1460}" type="presOf" srcId="{F741BDAD-4817-4C9E-9F1F-A74B0F6DE61F}" destId="{C21A87D9-01B7-485F-AAE0-A7A9A0ABD35B}" srcOrd="0" destOrd="0" presId="urn:microsoft.com/office/officeart/2005/8/layout/hList3"/>
    <dgm:cxn modelId="{CA42FF0A-25C6-465B-9E96-AAAA685B95F8}" srcId="{F741BDAD-4817-4C9E-9F1F-A74B0F6DE61F}" destId="{D2DC803E-DE9C-4EF9-82E4-CD105BE28EFB}" srcOrd="5" destOrd="0" parTransId="{3CDB67F6-CD8D-4416-98F4-77C8AC691B05}" sibTransId="{774BBE90-F2A2-4676-8141-C02FB6F02F53}"/>
    <dgm:cxn modelId="{3367A5EB-96DE-45B4-92AB-4A5B63BCDD5D}" type="presParOf" srcId="{7876D8F5-2807-4913-88EB-3A13188B7971}" destId="{C21A87D9-01B7-485F-AAE0-A7A9A0ABD35B}" srcOrd="0" destOrd="0" presId="urn:microsoft.com/office/officeart/2005/8/layout/hList3"/>
    <dgm:cxn modelId="{035C226E-0622-4770-B06F-C255C64E046C}" type="presParOf" srcId="{7876D8F5-2807-4913-88EB-3A13188B7971}" destId="{1377F3B2-76F7-4292-BD40-E590B85FC307}" srcOrd="1" destOrd="0" presId="urn:microsoft.com/office/officeart/2005/8/layout/hList3"/>
    <dgm:cxn modelId="{6B865407-EF51-4A2B-BEEF-0A73083BA415}" type="presParOf" srcId="{1377F3B2-76F7-4292-BD40-E590B85FC307}" destId="{345997DF-7C2C-449B-BAEB-36F126188780}" srcOrd="0" destOrd="0" presId="urn:microsoft.com/office/officeart/2005/8/layout/hList3"/>
    <dgm:cxn modelId="{929FA0E5-7692-4DA8-9EC3-09619F216710}" type="presParOf" srcId="{1377F3B2-76F7-4292-BD40-E590B85FC307}" destId="{F0DD4B42-6C15-49C4-A7D1-1264EFAD6996}" srcOrd="1" destOrd="0" presId="urn:microsoft.com/office/officeart/2005/8/layout/hList3"/>
    <dgm:cxn modelId="{D9C687E1-AE2A-49A3-AC2B-51BCDD76C38D}" type="presParOf" srcId="{1377F3B2-76F7-4292-BD40-E590B85FC307}" destId="{2BEFD285-DD93-4D4D-9A4A-FEC03372AF26}" srcOrd="2" destOrd="0" presId="urn:microsoft.com/office/officeart/2005/8/layout/hList3"/>
    <dgm:cxn modelId="{A063EA8A-12C5-46DB-989D-3A7EE7EAF7AB}" type="presParOf" srcId="{1377F3B2-76F7-4292-BD40-E590B85FC307}" destId="{67D9EDFD-3C9C-46D4-A5DF-CC9E98DF2EC0}" srcOrd="3" destOrd="0" presId="urn:microsoft.com/office/officeart/2005/8/layout/hList3"/>
    <dgm:cxn modelId="{37C49A51-EC17-40C2-8ECE-43E72D0E1897}" type="presParOf" srcId="{1377F3B2-76F7-4292-BD40-E590B85FC307}" destId="{EA01C144-854D-4967-8B7B-62BCF6879E0C}" srcOrd="4" destOrd="0" presId="urn:microsoft.com/office/officeart/2005/8/layout/hList3"/>
    <dgm:cxn modelId="{E9807449-A134-45FF-A608-CB46C075513C}" type="presParOf" srcId="{1377F3B2-76F7-4292-BD40-E590B85FC307}" destId="{729C675A-4D48-4848-8F9B-56ACD220F0AC}" srcOrd="5" destOrd="0" presId="urn:microsoft.com/office/officeart/2005/8/layout/hList3"/>
    <dgm:cxn modelId="{42C721C3-E05D-4FBD-8898-876F04E155FA}" type="presParOf" srcId="{1377F3B2-76F7-4292-BD40-E590B85FC307}" destId="{ABAA2A5B-87E2-4E52-8EED-7CB64A9F2973}" srcOrd="6" destOrd="0" presId="urn:microsoft.com/office/officeart/2005/8/layout/hList3"/>
    <dgm:cxn modelId="{95166EAD-3BDE-428C-B195-8A4594999AC1}" type="presParOf" srcId="{1377F3B2-76F7-4292-BD40-E590B85FC307}" destId="{A51A0A37-4695-4A98-8F24-FD978E28DB1A}" srcOrd="7" destOrd="0" presId="urn:microsoft.com/office/officeart/2005/8/layout/hList3"/>
    <dgm:cxn modelId="{C16C5583-8D5A-4B0C-BF39-254CCDAB4C3C}" type="presParOf" srcId="{7876D8F5-2807-4913-88EB-3A13188B7971}" destId="{BEDD9DE8-0D2A-4BE0-8342-D049DBCAF81E}" srcOrd="2" destOrd="0" presId="urn:microsoft.com/office/officeart/2005/8/layout/hList3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95607C6-2EDC-481F-BE90-4A4D28FA3B23}">
      <dsp:nvSpPr>
        <dsp:cNvPr id="0" name=""/>
        <dsp:cNvSpPr/>
      </dsp:nvSpPr>
      <dsp:spPr>
        <a:xfrm>
          <a:off x="1812677" y="695238"/>
          <a:ext cx="1717832" cy="1717832"/>
        </a:xfrm>
        <a:prstGeom prst="ellipse">
          <a:avLst/>
        </a:prstGeom>
        <a:solidFill>
          <a:schemeClr val="accent6">
            <a:lumMod val="60000"/>
            <a:lumOff val="40000"/>
            <a:alpha val="5000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400" b="1" kern="1200"/>
            <a:t>Principais atores e interessados no processo de privatização</a:t>
          </a:r>
        </a:p>
      </dsp:txBody>
      <dsp:txXfrm>
        <a:off x="2064248" y="946809"/>
        <a:ext cx="1214690" cy="1214690"/>
      </dsp:txXfrm>
    </dsp:sp>
    <dsp:sp modelId="{08CAE574-2C84-4F0E-9947-5B0F2A3AAC27}">
      <dsp:nvSpPr>
        <dsp:cNvPr id="0" name=""/>
        <dsp:cNvSpPr/>
      </dsp:nvSpPr>
      <dsp:spPr>
        <a:xfrm>
          <a:off x="2187766" y="-5379"/>
          <a:ext cx="967655" cy="881660"/>
        </a:xfrm>
        <a:prstGeom prst="ellipse">
          <a:avLst/>
        </a:prstGeom>
        <a:solidFill>
          <a:schemeClr val="accent3">
            <a:shade val="80000"/>
            <a:alpha val="50000"/>
            <a:hueOff val="0"/>
            <a:satOff val="0"/>
            <a:lumOff val="2386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kern="1200"/>
            <a:t>Sociedade civil</a:t>
          </a:r>
        </a:p>
      </dsp:txBody>
      <dsp:txXfrm>
        <a:off x="2329476" y="123737"/>
        <a:ext cx="684235" cy="623428"/>
      </dsp:txXfrm>
    </dsp:sp>
    <dsp:sp modelId="{D93B262C-4596-4171-ACC9-6B321019C263}">
      <dsp:nvSpPr>
        <dsp:cNvPr id="0" name=""/>
        <dsp:cNvSpPr/>
      </dsp:nvSpPr>
      <dsp:spPr>
        <a:xfrm>
          <a:off x="2883096" y="436089"/>
          <a:ext cx="1175727" cy="787171"/>
        </a:xfrm>
        <a:prstGeom prst="ellipse">
          <a:avLst/>
        </a:prstGeom>
        <a:solidFill>
          <a:schemeClr val="accent3">
            <a:shade val="80000"/>
            <a:alpha val="50000"/>
            <a:hueOff val="0"/>
            <a:satOff val="0"/>
            <a:lumOff val="4773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kern="1200"/>
            <a:t>Investidores privados</a:t>
          </a:r>
        </a:p>
      </dsp:txBody>
      <dsp:txXfrm>
        <a:off x="3055277" y="551368"/>
        <a:ext cx="831365" cy="556613"/>
      </dsp:txXfrm>
    </dsp:sp>
    <dsp:sp modelId="{362908D1-B3B4-499A-8B7B-9F855459541C}">
      <dsp:nvSpPr>
        <dsp:cNvPr id="0" name=""/>
        <dsp:cNvSpPr/>
      </dsp:nvSpPr>
      <dsp:spPr>
        <a:xfrm>
          <a:off x="3278109" y="1125109"/>
          <a:ext cx="1097944" cy="858091"/>
        </a:xfrm>
        <a:prstGeom prst="ellipse">
          <a:avLst/>
        </a:prstGeom>
        <a:solidFill>
          <a:schemeClr val="accent3">
            <a:shade val="80000"/>
            <a:alpha val="50000"/>
            <a:hueOff val="0"/>
            <a:satOff val="0"/>
            <a:lumOff val="7159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kern="1200"/>
            <a:t>Agências reguladoras</a:t>
          </a:r>
        </a:p>
      </dsp:txBody>
      <dsp:txXfrm>
        <a:off x="3438899" y="1250774"/>
        <a:ext cx="776364" cy="606761"/>
      </dsp:txXfrm>
    </dsp:sp>
    <dsp:sp modelId="{16DE47E6-3472-4C48-AA28-C5C4B63E0AF1}">
      <dsp:nvSpPr>
        <dsp:cNvPr id="0" name=""/>
        <dsp:cNvSpPr/>
      </dsp:nvSpPr>
      <dsp:spPr>
        <a:xfrm>
          <a:off x="3016005" y="1915740"/>
          <a:ext cx="893264" cy="858916"/>
        </a:xfrm>
        <a:prstGeom prst="ellipse">
          <a:avLst/>
        </a:prstGeom>
        <a:solidFill>
          <a:schemeClr val="accent3">
            <a:shade val="80000"/>
            <a:alpha val="50000"/>
            <a:hueOff val="0"/>
            <a:satOff val="0"/>
            <a:lumOff val="9546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kern="1200"/>
            <a:t>Poder Executivo</a:t>
          </a:r>
        </a:p>
      </dsp:txBody>
      <dsp:txXfrm>
        <a:off x="3146820" y="2041525"/>
        <a:ext cx="631634" cy="607346"/>
      </dsp:txXfrm>
    </dsp:sp>
    <dsp:sp modelId="{2B27A015-1FE9-4259-834D-6291BE25096E}">
      <dsp:nvSpPr>
        <dsp:cNvPr id="0" name=""/>
        <dsp:cNvSpPr/>
      </dsp:nvSpPr>
      <dsp:spPr>
        <a:xfrm>
          <a:off x="2203119" y="2243401"/>
          <a:ext cx="936948" cy="858916"/>
        </a:xfrm>
        <a:prstGeom prst="ellipse">
          <a:avLst/>
        </a:prstGeom>
        <a:solidFill>
          <a:schemeClr val="accent3">
            <a:shade val="80000"/>
            <a:alpha val="50000"/>
            <a:hueOff val="0"/>
            <a:satOff val="0"/>
            <a:lumOff val="11932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kern="1200"/>
            <a:t>Ministério Público</a:t>
          </a:r>
        </a:p>
      </dsp:txBody>
      <dsp:txXfrm>
        <a:off x="2340332" y="2369186"/>
        <a:ext cx="662522" cy="607346"/>
      </dsp:txXfrm>
    </dsp:sp>
    <dsp:sp modelId="{581D4A3D-23B0-4C6D-B138-843E664D1537}">
      <dsp:nvSpPr>
        <dsp:cNvPr id="0" name=""/>
        <dsp:cNvSpPr/>
      </dsp:nvSpPr>
      <dsp:spPr>
        <a:xfrm>
          <a:off x="1397882" y="1872347"/>
          <a:ext cx="965336" cy="945701"/>
        </a:xfrm>
        <a:prstGeom prst="ellipse">
          <a:avLst/>
        </a:prstGeom>
        <a:solidFill>
          <a:schemeClr val="accent3">
            <a:shade val="80000"/>
            <a:alpha val="50000"/>
            <a:hueOff val="0"/>
            <a:satOff val="0"/>
            <a:lumOff val="14319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kern="1200"/>
            <a:t>Poder Legislativo</a:t>
          </a:r>
        </a:p>
      </dsp:txBody>
      <dsp:txXfrm>
        <a:off x="1539252" y="2010842"/>
        <a:ext cx="682596" cy="668711"/>
      </dsp:txXfrm>
    </dsp:sp>
    <dsp:sp modelId="{0966F21B-00A6-455E-9B82-7D132EA42EA9}">
      <dsp:nvSpPr>
        <dsp:cNvPr id="0" name=""/>
        <dsp:cNvSpPr/>
      </dsp:nvSpPr>
      <dsp:spPr>
        <a:xfrm>
          <a:off x="1060769" y="1102820"/>
          <a:ext cx="984240" cy="902669"/>
        </a:xfrm>
        <a:prstGeom prst="ellipse">
          <a:avLst/>
        </a:prstGeom>
        <a:solidFill>
          <a:schemeClr val="accent3">
            <a:shade val="80000"/>
            <a:alpha val="50000"/>
            <a:hueOff val="0"/>
            <a:satOff val="0"/>
            <a:lumOff val="16705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kern="1200"/>
            <a:t>Tribunais de contas</a:t>
          </a:r>
        </a:p>
      </dsp:txBody>
      <dsp:txXfrm>
        <a:off x="1204908" y="1235013"/>
        <a:ext cx="695962" cy="638283"/>
      </dsp:txXfrm>
    </dsp:sp>
    <dsp:sp modelId="{0902139F-EFB9-490F-A55C-515E126D3973}">
      <dsp:nvSpPr>
        <dsp:cNvPr id="0" name=""/>
        <dsp:cNvSpPr/>
      </dsp:nvSpPr>
      <dsp:spPr>
        <a:xfrm>
          <a:off x="1451092" y="333653"/>
          <a:ext cx="858916" cy="858916"/>
        </a:xfrm>
        <a:prstGeom prst="ellipse">
          <a:avLst/>
        </a:prstGeom>
        <a:solidFill>
          <a:schemeClr val="accent3">
            <a:shade val="80000"/>
            <a:alpha val="50000"/>
            <a:hueOff val="0"/>
            <a:satOff val="0"/>
            <a:lumOff val="19092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kern="1200"/>
            <a:t>Empresa estatal</a:t>
          </a:r>
        </a:p>
      </dsp:txBody>
      <dsp:txXfrm>
        <a:off x="1576877" y="459438"/>
        <a:ext cx="607346" cy="60734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1A87D9-01B7-485F-AAE0-A7A9A0ABD35B}">
      <dsp:nvSpPr>
        <dsp:cNvPr id="0" name=""/>
        <dsp:cNvSpPr/>
      </dsp:nvSpPr>
      <dsp:spPr>
        <a:xfrm>
          <a:off x="0" y="0"/>
          <a:ext cx="6150634" cy="365760"/>
        </a:xfrm>
        <a:prstGeom prst="rect">
          <a:avLst/>
        </a:prstGeom>
        <a:solidFill>
          <a:schemeClr val="dk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>
              <a:latin typeface="Arial" panose="020B0604020202020204" pitchFamily="34" charset="0"/>
              <a:cs typeface="Arial" panose="020B0604020202020204" pitchFamily="34" charset="0"/>
            </a:rPr>
            <a:t>Principais atores e interessados no processo de privatização</a:t>
          </a:r>
        </a:p>
      </dsp:txBody>
      <dsp:txXfrm>
        <a:off x="0" y="0"/>
        <a:ext cx="6150634" cy="365760"/>
      </dsp:txXfrm>
    </dsp:sp>
    <dsp:sp modelId="{345997DF-7C2C-449B-BAEB-36F126188780}">
      <dsp:nvSpPr>
        <dsp:cNvPr id="0" name=""/>
        <dsp:cNvSpPr/>
      </dsp:nvSpPr>
      <dsp:spPr>
        <a:xfrm>
          <a:off x="2463" y="365760"/>
          <a:ext cx="744255" cy="76809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latin typeface="Arial" panose="020B0604020202020204" pitchFamily="34" charset="0"/>
              <a:cs typeface="Arial" panose="020B0604020202020204" pitchFamily="34" charset="0"/>
            </a:rPr>
            <a:t>Sociedade</a:t>
          </a:r>
          <a:r>
            <a:rPr lang="en-US" sz="1200" kern="1200">
              <a:latin typeface="Arial" panose="020B0604020202020204" pitchFamily="34" charset="0"/>
              <a:cs typeface="Arial" panose="020B0604020202020204" pitchFamily="34" charset="0"/>
            </a:rPr>
            <a:t> civil</a:t>
          </a:r>
        </a:p>
      </dsp:txBody>
      <dsp:txXfrm>
        <a:off x="2463" y="365760"/>
        <a:ext cx="744255" cy="768096"/>
      </dsp:txXfrm>
    </dsp:sp>
    <dsp:sp modelId="{F0DD4B42-6C15-49C4-A7D1-1264EFAD6996}">
      <dsp:nvSpPr>
        <dsp:cNvPr id="0" name=""/>
        <dsp:cNvSpPr/>
      </dsp:nvSpPr>
      <dsp:spPr>
        <a:xfrm>
          <a:off x="746719" y="365760"/>
          <a:ext cx="985509" cy="76809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latin typeface="Arial" panose="020B0604020202020204" pitchFamily="34" charset="0"/>
              <a:cs typeface="Arial" panose="020B0604020202020204" pitchFamily="34" charset="0"/>
            </a:rPr>
            <a:t>Investidores</a:t>
          </a:r>
          <a:r>
            <a:rPr lang="en-US" sz="1200" kern="1200">
              <a:latin typeface="Arial" panose="020B0604020202020204" pitchFamily="34" charset="0"/>
              <a:cs typeface="Arial" panose="020B0604020202020204" pitchFamily="34" charset="0"/>
            </a:rPr>
            <a:t> privados</a:t>
          </a:r>
        </a:p>
      </dsp:txBody>
      <dsp:txXfrm>
        <a:off x="746719" y="365760"/>
        <a:ext cx="985509" cy="768096"/>
      </dsp:txXfrm>
    </dsp:sp>
    <dsp:sp modelId="{2BEFD285-DD93-4D4D-9A4A-FEC03372AF26}">
      <dsp:nvSpPr>
        <dsp:cNvPr id="0" name=""/>
        <dsp:cNvSpPr/>
      </dsp:nvSpPr>
      <dsp:spPr>
        <a:xfrm>
          <a:off x="1732229" y="365760"/>
          <a:ext cx="759471" cy="76809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latin typeface="Arial" panose="020B0604020202020204" pitchFamily="34" charset="0"/>
              <a:cs typeface="Arial" panose="020B0604020202020204" pitchFamily="34" charset="0"/>
            </a:rPr>
            <a:t>Agências </a:t>
          </a:r>
          <a:r>
            <a:rPr lang="en-US" sz="1000" kern="1200">
              <a:latin typeface="Arial" panose="020B0604020202020204" pitchFamily="34" charset="0"/>
              <a:cs typeface="Arial" panose="020B0604020202020204" pitchFamily="34" charset="0"/>
            </a:rPr>
            <a:t>reguladoras</a:t>
          </a:r>
          <a:endParaRPr lang="en-US" sz="11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732229" y="365760"/>
        <a:ext cx="759471" cy="768096"/>
      </dsp:txXfrm>
    </dsp:sp>
    <dsp:sp modelId="{67D9EDFD-3C9C-46D4-A5DF-CC9E98DF2EC0}">
      <dsp:nvSpPr>
        <dsp:cNvPr id="0" name=""/>
        <dsp:cNvSpPr/>
      </dsp:nvSpPr>
      <dsp:spPr>
        <a:xfrm>
          <a:off x="2491700" y="365760"/>
          <a:ext cx="768452" cy="76809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latin typeface="Arial" panose="020B0604020202020204" pitchFamily="34" charset="0"/>
              <a:cs typeface="Arial" panose="020B0604020202020204" pitchFamily="34" charset="0"/>
            </a:rPr>
            <a:t>Poder Executivo</a:t>
          </a:r>
        </a:p>
      </dsp:txBody>
      <dsp:txXfrm>
        <a:off x="2491700" y="365760"/>
        <a:ext cx="768452" cy="768096"/>
      </dsp:txXfrm>
    </dsp:sp>
    <dsp:sp modelId="{EA01C144-854D-4967-8B7B-62BCF6879E0C}">
      <dsp:nvSpPr>
        <dsp:cNvPr id="0" name=""/>
        <dsp:cNvSpPr/>
      </dsp:nvSpPr>
      <dsp:spPr>
        <a:xfrm>
          <a:off x="3260153" y="365760"/>
          <a:ext cx="762920" cy="76809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latin typeface="Arial" panose="020B0604020202020204" pitchFamily="34" charset="0"/>
              <a:cs typeface="Arial" panose="020B0604020202020204" pitchFamily="34" charset="0"/>
            </a:rPr>
            <a:t>Ministério Público</a:t>
          </a:r>
        </a:p>
      </dsp:txBody>
      <dsp:txXfrm>
        <a:off x="3260153" y="365760"/>
        <a:ext cx="762920" cy="768096"/>
      </dsp:txXfrm>
    </dsp:sp>
    <dsp:sp modelId="{729C675A-4D48-4848-8F9B-56ACD220F0AC}">
      <dsp:nvSpPr>
        <dsp:cNvPr id="0" name=""/>
        <dsp:cNvSpPr/>
      </dsp:nvSpPr>
      <dsp:spPr>
        <a:xfrm>
          <a:off x="4023074" y="365760"/>
          <a:ext cx="785651" cy="76809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latin typeface="Arial" panose="020B0604020202020204" pitchFamily="34" charset="0"/>
              <a:cs typeface="Arial" panose="020B0604020202020204" pitchFamily="34" charset="0"/>
            </a:rPr>
            <a:t>Poder Legislativo</a:t>
          </a:r>
        </a:p>
      </dsp:txBody>
      <dsp:txXfrm>
        <a:off x="4023074" y="365760"/>
        <a:ext cx="785651" cy="768096"/>
      </dsp:txXfrm>
    </dsp:sp>
    <dsp:sp modelId="{ABAA2A5B-87E2-4E52-8EED-7CB64A9F2973}">
      <dsp:nvSpPr>
        <dsp:cNvPr id="0" name=""/>
        <dsp:cNvSpPr/>
      </dsp:nvSpPr>
      <dsp:spPr>
        <a:xfrm>
          <a:off x="4808725" y="365760"/>
          <a:ext cx="669722" cy="76809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latin typeface="Arial" panose="020B0604020202020204" pitchFamily="34" charset="0"/>
              <a:cs typeface="Arial" panose="020B0604020202020204" pitchFamily="34" charset="0"/>
            </a:rPr>
            <a:t>Tribunais de contas</a:t>
          </a:r>
        </a:p>
      </dsp:txBody>
      <dsp:txXfrm>
        <a:off x="4808725" y="365760"/>
        <a:ext cx="669722" cy="768096"/>
      </dsp:txXfrm>
    </dsp:sp>
    <dsp:sp modelId="{A51A0A37-4695-4A98-8F24-FD978E28DB1A}">
      <dsp:nvSpPr>
        <dsp:cNvPr id="0" name=""/>
        <dsp:cNvSpPr/>
      </dsp:nvSpPr>
      <dsp:spPr>
        <a:xfrm>
          <a:off x="5478448" y="365760"/>
          <a:ext cx="669722" cy="76809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latin typeface="Arial" panose="020B0604020202020204" pitchFamily="34" charset="0"/>
              <a:cs typeface="Arial" panose="020B0604020202020204" pitchFamily="34" charset="0"/>
            </a:rPr>
            <a:t>Empresa estatal</a:t>
          </a:r>
        </a:p>
      </dsp:txBody>
      <dsp:txXfrm>
        <a:off x="5478448" y="365760"/>
        <a:ext cx="669722" cy="768096"/>
      </dsp:txXfrm>
    </dsp:sp>
    <dsp:sp modelId="{BEDD9DE8-0D2A-4BE0-8342-D049DBCAF81E}">
      <dsp:nvSpPr>
        <dsp:cNvPr id="0" name=""/>
        <dsp:cNvSpPr/>
      </dsp:nvSpPr>
      <dsp:spPr>
        <a:xfrm>
          <a:off x="0" y="1133856"/>
          <a:ext cx="6150634" cy="85344"/>
        </a:xfrm>
        <a:prstGeom prst="rect">
          <a:avLst/>
        </a:prstGeom>
        <a:solidFill>
          <a:schemeClr val="dk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030E99468C7412FA4444915B9CDE2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816BBB-D8C2-4F88-BFB2-37B742B01029}"/>
      </w:docPartPr>
      <w:docPartBody>
        <w:p w:rsidR="00DC49C2" w:rsidRDefault="00DC49C2" w:rsidP="00DC49C2">
          <w:pPr>
            <w:pStyle w:val="7030E99468C7412FA4444915B9CDE2A5"/>
          </w:pPr>
          <w:r w:rsidRPr="0025337E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d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C2"/>
    <w:rsid w:val="00DC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C49C2"/>
    <w:rPr>
      <w:color w:val="808080"/>
    </w:rPr>
  </w:style>
  <w:style w:type="paragraph" w:customStyle="1" w:styleId="7030E99468C7412FA4444915B9CDE2A5">
    <w:name w:val="7030E99468C7412FA4444915B9CDE2A5"/>
    <w:rsid w:val="00DC49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9225C-846C-48C5-B64B-D01E465F59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A867A5-B312-454A-BA45-77C4F053A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27</Pages>
  <Words>8673</Words>
  <Characters>46840</Characters>
  <Application>Microsoft Office Word</Application>
  <DocSecurity>8</DocSecurity>
  <Lines>390</Lines>
  <Paragraphs>110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Laís Piasentini</cp:lastModifiedBy>
  <cp:revision>20</cp:revision>
  <cp:lastPrinted>2019-09-17T14:15:00Z</cp:lastPrinted>
  <dcterms:created xsi:type="dcterms:W3CDTF">2019-09-30T16:58:00Z</dcterms:created>
  <dcterms:modified xsi:type="dcterms:W3CDTF">2019-09-30T19:59:00Z</dcterms:modified>
</cp:coreProperties>
</file>